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水旱灾害防御中心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水旱灾害防御中心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万元，完成预算的X</w:t>
      </w:r>
      <w:bookmarkStart w:id="0" w:name="_GoBack"/>
      <w:r>
        <w:rPr>
          <w:rFonts w:hint="eastAsia" w:ascii="仿宋_GB2312" w:hAnsi="仿宋"/>
          <w:szCs w:val="32"/>
        </w:rPr>
        <w:t>X</w:t>
      </w:r>
      <w:bookmarkEnd w:id="0"/>
      <w:r>
        <w:rPr>
          <w:rFonts w:hint="eastAsia" w:ascii="仿宋_GB2312" w:hAnsi="仿宋"/>
          <w:szCs w:val="32"/>
        </w:rPr>
        <w:t>%，决算数大于（小于）预算数的主要原因是……。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淮北市XX局（委）202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年度一般公共预算财政拨款“三公”经费支出决算中，因公出国（境）费支出决算XX万元，占XX%;公务接待费支出决算XX万元，占XX%；公务用车购置及运行维护费支出决算XX万元，占XX%。具体情况如下：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XX万元，与202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年度预算相比，减少（增加）XX万元，下降（增长）XX%，下降（增长）的原因是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年淮北市XX局（委）因公出国（境）团组XX次，累计出国（境）XX人次。该项经费根据市外办批准的因公临时出国（境）计划，按照规定标准安排。主要是用于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XX万元,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年度预算相比，减少（增加）XX万元，下降（增长）XX%，下降（增长）的原因是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年淮北市XX局（委）国内公务接待共XX批次（其中外事接待XX批次），XX人次（其中外事接待XX人次）。主要是用于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XX万元，与202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年度预算相比，减少（增加）XX万元，下降（增长）XX%，下降（增长）的原因是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。其中，公务用车购置费XX万元，与202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年度预算相比，减少（增加）XX万元，下降（增长）XX%，下降（增长）的原因是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年购置公务用车X辆。（如没有安排公务用车购置数，可表述为202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年没有安排公务用车购置费）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公务用车运行维护费XX万元，与202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年度预算相比，减少（增加）XX万元，下降（增长）XX%，下降（增长）的原因是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</w:t>
      </w:r>
      <w:r>
        <w:rPr>
          <w:rFonts w:ascii="仿宋_GB2312" w:hAnsi="仿宋"/>
          <w:szCs w:val="32"/>
        </w:rPr>
        <w:t>……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年12月31日，淮北市XX局（委）开支财政拨款的公务用车保有量为XX辆。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zZGNkOGM3NGMzNjE0ODMxZTU5OWI0MzhlYzQ2NW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3695679F"/>
    <w:rsid w:val="6E1A370E"/>
    <w:rsid w:val="6F8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1077</Characters>
  <Lines>8</Lines>
  <Paragraphs>2</Paragraphs>
  <TotalTime>1</TotalTime>
  <ScaleCrop>false</ScaleCrop>
  <LinksUpToDate>false</LinksUpToDate>
  <CharactersWithSpaces>1155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zhf</cp:lastModifiedBy>
  <cp:lastPrinted>2020-09-14T08:17:00Z</cp:lastPrinted>
  <dcterms:modified xsi:type="dcterms:W3CDTF">2022-07-28T03:42:52Z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