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F82417">
      <w:pPr>
        <w:keepNext w:val="0"/>
        <w:keepLines w:val="0"/>
        <w:pageBreakBefore w:val="0"/>
        <w:widowControl w:val="0"/>
        <w:kinsoku/>
        <w:wordWrap/>
        <w:overflowPunct/>
        <w:topLinePunct w:val="0"/>
        <w:autoSpaceDE/>
        <w:autoSpaceDN/>
        <w:bidi/>
        <w:adjustRightInd/>
        <w:snapToGrid/>
        <w:spacing w:line="580" w:lineRule="exact"/>
        <w:ind w:left="0" w:leftChars="0" w:firstLine="0" w:firstLineChars="0"/>
        <w:jc w:val="center"/>
        <w:textAlignment w:val="auto"/>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rPr>
        <w:t>淮北市城市排水防涝提升</w:t>
      </w:r>
      <w:r>
        <w:rPr>
          <w:rFonts w:hint="eastAsia" w:ascii="方正小标宋简体" w:hAnsi="方正小标宋简体" w:eastAsia="方正小标宋简体" w:cs="方正小标宋简体"/>
          <w:b w:val="0"/>
          <w:bCs w:val="0"/>
          <w:sz w:val="36"/>
          <w:szCs w:val="36"/>
          <w:lang w:eastAsia="zh-CN"/>
        </w:rPr>
        <w:t>－</w:t>
      </w:r>
      <w:r>
        <w:rPr>
          <w:rFonts w:hint="eastAsia" w:ascii="方正小标宋简体" w:hAnsi="方正小标宋简体" w:eastAsia="方正小标宋简体" w:cs="方正小标宋简体"/>
          <w:b w:val="0"/>
          <w:bCs w:val="0"/>
          <w:sz w:val="36"/>
          <w:szCs w:val="36"/>
        </w:rPr>
        <w:t>排涝通道综合治理工程（淮北市高新区龙湖排涝泵站扩容改造工程）项目施工监理</w:t>
      </w:r>
    </w:p>
    <w:p w14:paraId="72E15B03">
      <w:pPr>
        <w:keepNext w:val="0"/>
        <w:keepLines w:val="0"/>
        <w:pageBreakBefore w:val="0"/>
        <w:widowControl w:val="0"/>
        <w:kinsoku/>
        <w:wordWrap/>
        <w:overflowPunct/>
        <w:topLinePunct w:val="0"/>
        <w:autoSpaceDE/>
        <w:autoSpaceDN/>
        <w:bidi/>
        <w:adjustRightInd/>
        <w:snapToGrid/>
        <w:spacing w:line="580" w:lineRule="exact"/>
        <w:ind w:left="0" w:leftChars="0" w:firstLine="0" w:firstLineChars="0"/>
        <w:jc w:val="center"/>
        <w:textAlignment w:val="auto"/>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lang w:val="en-US" w:eastAsia="zh-CN"/>
        </w:rPr>
        <w:t>投标文件调研</w:t>
      </w:r>
      <w:r>
        <w:rPr>
          <w:rFonts w:hint="eastAsia" w:ascii="方正小标宋简体" w:hAnsi="方正小标宋简体" w:eastAsia="方正小标宋简体" w:cs="方正小标宋简体"/>
          <w:b w:val="0"/>
          <w:bCs w:val="0"/>
          <w:sz w:val="36"/>
          <w:szCs w:val="36"/>
        </w:rPr>
        <w:t>公告</w:t>
      </w:r>
    </w:p>
    <w:p w14:paraId="2720EC08">
      <w:pPr>
        <w:keepNext w:val="0"/>
        <w:keepLines w:val="0"/>
        <w:pageBreakBefore w:val="0"/>
        <w:widowControl w:val="0"/>
        <w:kinsoku/>
        <w:wordWrap/>
        <w:overflowPunct/>
        <w:topLinePunct w:val="0"/>
        <w:autoSpaceDE/>
        <w:autoSpaceDN/>
        <w:bidi w:val="0"/>
        <w:adjustRightInd/>
        <w:snapToGrid/>
        <w:spacing w:line="580" w:lineRule="exact"/>
        <w:ind w:firstLine="280" w:firstLineChars="100"/>
        <w:textAlignment w:val="auto"/>
        <w:rPr>
          <w:rFonts w:hint="eastAsia" w:ascii="方正仿宋_GB2312" w:hAnsi="方正仿宋_GB2312" w:eastAsia="方正仿宋_GB2312" w:cs="方正仿宋_GB2312"/>
          <w:sz w:val="28"/>
          <w:szCs w:val="28"/>
          <w:lang w:eastAsia="zh-CN"/>
        </w:rPr>
      </w:pPr>
      <w:bookmarkStart w:id="0" w:name="_GoBack"/>
      <w:bookmarkEnd w:id="0"/>
    </w:p>
    <w:p w14:paraId="2174FDE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淮北市河道管理中心</w:t>
      </w:r>
      <w:r>
        <w:rPr>
          <w:rFonts w:hint="eastAsia" w:ascii="仿宋_GB2312" w:hAnsi="仿宋_GB2312" w:eastAsia="仿宋_GB2312" w:cs="仿宋_GB2312"/>
          <w:b w:val="0"/>
          <w:bCs w:val="0"/>
          <w:sz w:val="32"/>
          <w:szCs w:val="32"/>
        </w:rPr>
        <w:t>根据工作需要</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现向相关</w:t>
      </w:r>
      <w:r>
        <w:rPr>
          <w:rFonts w:hint="eastAsia" w:ascii="仿宋_GB2312" w:hAnsi="仿宋_GB2312" w:eastAsia="仿宋_GB2312" w:cs="仿宋_GB2312"/>
          <w:b w:val="0"/>
          <w:bCs w:val="0"/>
          <w:sz w:val="32"/>
          <w:szCs w:val="32"/>
          <w:lang w:eastAsia="zh-CN"/>
        </w:rPr>
        <w:t>单位</w:t>
      </w:r>
      <w:r>
        <w:rPr>
          <w:rFonts w:hint="eastAsia" w:ascii="仿宋_GB2312" w:hAnsi="仿宋_GB2312" w:eastAsia="仿宋_GB2312" w:cs="仿宋_GB2312"/>
          <w:b w:val="0"/>
          <w:bCs w:val="0"/>
          <w:sz w:val="32"/>
          <w:szCs w:val="32"/>
          <w:lang w:val="en-US" w:eastAsia="zh-CN"/>
        </w:rPr>
        <w:t>开展投标文件调研</w:t>
      </w:r>
      <w:r>
        <w:rPr>
          <w:rFonts w:hint="eastAsia" w:ascii="仿宋_GB2312" w:hAnsi="仿宋_GB2312" w:eastAsia="仿宋_GB2312" w:cs="仿宋_GB2312"/>
          <w:b w:val="0"/>
          <w:bCs w:val="0"/>
          <w:sz w:val="32"/>
          <w:szCs w:val="32"/>
        </w:rPr>
        <w:t>，欢迎致力于</w:t>
      </w:r>
      <w:r>
        <w:rPr>
          <w:rFonts w:hint="eastAsia" w:ascii="仿宋_GB2312" w:hAnsi="仿宋_GB2312" w:eastAsia="仿宋_GB2312" w:cs="仿宋_GB2312"/>
          <w:b w:val="0"/>
          <w:bCs w:val="0"/>
          <w:sz w:val="32"/>
          <w:szCs w:val="32"/>
          <w:lang w:eastAsia="zh-CN"/>
        </w:rPr>
        <w:t>工程</w:t>
      </w:r>
      <w:r>
        <w:rPr>
          <w:rFonts w:hint="eastAsia" w:ascii="仿宋_GB2312" w:hAnsi="仿宋_GB2312" w:eastAsia="仿宋_GB2312" w:cs="仿宋_GB2312"/>
          <w:b w:val="0"/>
          <w:bCs w:val="0"/>
          <w:sz w:val="32"/>
          <w:szCs w:val="32"/>
        </w:rPr>
        <w:t>建设</w:t>
      </w:r>
      <w:r>
        <w:rPr>
          <w:rFonts w:hint="eastAsia" w:ascii="仿宋_GB2312" w:hAnsi="仿宋_GB2312" w:eastAsia="仿宋_GB2312" w:cs="仿宋_GB2312"/>
          <w:b w:val="0"/>
          <w:bCs w:val="0"/>
          <w:sz w:val="32"/>
          <w:szCs w:val="32"/>
          <w:lang w:eastAsia="zh-CN"/>
        </w:rPr>
        <w:t>监理</w:t>
      </w:r>
      <w:r>
        <w:rPr>
          <w:rFonts w:hint="eastAsia" w:ascii="仿宋_GB2312" w:hAnsi="仿宋_GB2312" w:eastAsia="仿宋_GB2312" w:cs="仿宋_GB2312"/>
          <w:b w:val="0"/>
          <w:bCs w:val="0"/>
          <w:sz w:val="32"/>
          <w:szCs w:val="32"/>
        </w:rPr>
        <w:t>行业</w:t>
      </w:r>
      <w:r>
        <w:rPr>
          <w:rFonts w:hint="eastAsia" w:ascii="仿宋_GB2312" w:hAnsi="仿宋_GB2312" w:eastAsia="仿宋_GB2312" w:cs="仿宋_GB2312"/>
          <w:b w:val="0"/>
          <w:bCs w:val="0"/>
          <w:sz w:val="32"/>
          <w:szCs w:val="32"/>
          <w:lang w:eastAsia="zh-CN"/>
        </w:rPr>
        <w:t>单位</w:t>
      </w:r>
      <w:r>
        <w:rPr>
          <w:rFonts w:hint="eastAsia" w:ascii="仿宋_GB2312" w:hAnsi="仿宋_GB2312" w:eastAsia="仿宋_GB2312" w:cs="仿宋_GB2312"/>
          <w:b w:val="0"/>
          <w:bCs w:val="0"/>
          <w:sz w:val="32"/>
          <w:szCs w:val="32"/>
        </w:rPr>
        <w:t>积极参与。</w:t>
      </w:r>
    </w:p>
    <w:p w14:paraId="35B5043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一、项目基本情况</w:t>
      </w:r>
    </w:p>
    <w:p w14:paraId="0DFCF6D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 项目名称：淮北市高新区龙湖排涝泵站扩容改造工程项目监理</w:t>
      </w:r>
    </w:p>
    <w:p w14:paraId="241CCE1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 xml:space="preserve"> 项目最高限价：人民币</w:t>
      </w:r>
      <w:r>
        <w:rPr>
          <w:rFonts w:hint="eastAsia" w:ascii="仿宋_GB2312" w:hAnsi="仿宋_GB2312" w:eastAsia="仿宋_GB2312" w:cs="仿宋_GB2312"/>
          <w:b w:val="0"/>
          <w:bCs w:val="0"/>
          <w:sz w:val="32"/>
          <w:szCs w:val="32"/>
          <w:lang w:eastAsia="zh-CN"/>
        </w:rPr>
        <w:t>约</w:t>
      </w:r>
      <w:r>
        <w:rPr>
          <w:rFonts w:hint="eastAsia" w:ascii="仿宋_GB2312" w:hAnsi="仿宋_GB2312" w:eastAsia="仿宋_GB2312" w:cs="仿宋_GB2312"/>
          <w:b w:val="0"/>
          <w:bCs w:val="0"/>
          <w:sz w:val="32"/>
          <w:szCs w:val="32"/>
        </w:rPr>
        <w:t>67</w:t>
      </w:r>
      <w:r>
        <w:rPr>
          <w:rFonts w:hint="eastAsia" w:ascii="仿宋_GB2312" w:hAnsi="仿宋_GB2312" w:eastAsia="仿宋_GB2312" w:cs="仿宋_GB2312"/>
          <w:b w:val="0"/>
          <w:bCs w:val="0"/>
          <w:sz w:val="32"/>
          <w:szCs w:val="32"/>
          <w:lang w:eastAsia="zh-CN"/>
        </w:rPr>
        <w:t>万</w:t>
      </w:r>
      <w:r>
        <w:rPr>
          <w:rFonts w:hint="eastAsia" w:ascii="仿宋_GB2312" w:hAnsi="仿宋_GB2312" w:eastAsia="仿宋_GB2312" w:cs="仿宋_GB2312"/>
          <w:b w:val="0"/>
          <w:bCs w:val="0"/>
          <w:sz w:val="32"/>
          <w:szCs w:val="32"/>
        </w:rPr>
        <w:t>元</w:t>
      </w:r>
    </w:p>
    <w:p w14:paraId="0AD4948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二、项目建设目标</w:t>
      </w:r>
    </w:p>
    <w:p w14:paraId="26A8C1F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为淮北市高新区龙湖排涝泵站扩容改造工程配套监理服务，立足区域防汛排涝安全需求，通过专业化、全过程工程监理管控，严格把控泵站扩容改造工程的工程质量、施工安全、建设工期</w:t>
      </w:r>
      <w:r>
        <w:rPr>
          <w:rFonts w:hint="eastAsia" w:ascii="仿宋_GB2312" w:hAnsi="仿宋_GB2312" w:eastAsia="仿宋_GB2312" w:cs="仿宋_GB2312"/>
          <w:b w:val="0"/>
          <w:bCs w:val="0"/>
          <w:sz w:val="32"/>
          <w:szCs w:val="32"/>
          <w:lang w:eastAsia="zh-CN"/>
        </w:rPr>
        <w:t>等</w:t>
      </w:r>
      <w:r>
        <w:rPr>
          <w:rFonts w:hint="eastAsia" w:ascii="仿宋_GB2312" w:hAnsi="仿宋_GB2312" w:eastAsia="仿宋_GB2312" w:cs="仿宋_GB2312"/>
          <w:b w:val="0"/>
          <w:bCs w:val="0"/>
          <w:sz w:val="32"/>
          <w:szCs w:val="32"/>
        </w:rPr>
        <w:t>核心目标。通过规范化监理工作，有效排查施工安全隐患、规范施工工序工艺、严控工程变更与签证，确保项目严格按照设计图纸、规范标准及批复文件实施，全面提升龙湖排涝泵站排水排涝能力，完善高新区城市防洪排涝体系，保障区域汛期安全、基础设施稳定运行，确保工程最终验收合格、顺利交付投入使用。</w:t>
      </w:r>
    </w:p>
    <w:p w14:paraId="6900A1F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三、</w:t>
      </w:r>
      <w:r>
        <w:rPr>
          <w:rFonts w:hint="eastAsia" w:ascii="黑体" w:hAnsi="黑体" w:eastAsia="黑体" w:cs="黑体"/>
          <w:b w:val="0"/>
          <w:bCs w:val="0"/>
          <w:sz w:val="32"/>
          <w:szCs w:val="32"/>
        </w:rPr>
        <w:t>监理服务范围</w:t>
      </w:r>
    </w:p>
    <w:p w14:paraId="115A346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本次监理服务覆盖淮北市高新区龙湖排涝泵站扩容改造工程施工全过程、全阶段、全方位监理服务，具体范围如下：</w:t>
      </w:r>
    </w:p>
    <w:p w14:paraId="074FA13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 施工准备阶段：协助建设单位审查施工组织设计、专项施工方案、进度计划、安全文明施工方案，核查施工单位人员、设备、材料进场条件，做好开工前技术交底、图纸会审监理工作。</w:t>
      </w:r>
    </w:p>
    <w:p w14:paraId="0F9A7BF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 施工实施阶段：对泵站土建改造、设备安装、管线铺设、配套附属工程等全部施工内容开展现场旁站、巡视、平行检验监理；严控原材料、构配件、设备进场验收；监督施工工序、施工质量、安全生产、文明施工；管控工程进度、工程变更、现场签证、造价管控</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对机电设备、泵机闸门等金属结构监督监造</w:t>
      </w:r>
      <w:r>
        <w:rPr>
          <w:rFonts w:hint="eastAsia" w:ascii="仿宋_GB2312" w:hAnsi="仿宋_GB2312" w:eastAsia="仿宋_GB2312" w:cs="仿宋_GB2312"/>
          <w:b w:val="0"/>
          <w:bCs w:val="0"/>
          <w:sz w:val="32"/>
          <w:szCs w:val="32"/>
        </w:rPr>
        <w:t>。</w:t>
      </w:r>
    </w:p>
    <w:p w14:paraId="34B8147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3. 竣工验收阶段：组织分项、分部、单元工程验收，协助建设单位开展完工验收、竣工验收，核查工程完工质量、工程量完成情况，整理审核全套工程监理资料。</w:t>
      </w:r>
    </w:p>
    <w:p w14:paraId="0F17044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4. 缺陷责任期阶段：对工程质保期内质量缺陷进行跟踪检查、督促整改，完成缺陷责任期监理收尾、资料归档、竣工移交等全部配套服务工作。</w:t>
      </w:r>
    </w:p>
    <w:p w14:paraId="6CFD05D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5. 配套服务：全过程做好合同管理、信息管理、安全管理、协调参建各方关系，按时提交监理日志、月报、工作总结、验收报告等全套监理文件资料，配合审计、检查、验收等相关工作。</w:t>
      </w:r>
    </w:p>
    <w:p w14:paraId="5328976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四、报名条件</w:t>
      </w:r>
    </w:p>
    <w:p w14:paraId="31B2540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 主体资格：具有独立法人资格，能够独立承担民事责任，具备有效的营业执照。</w:t>
      </w:r>
    </w:p>
    <w:p w14:paraId="5222C7A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 xml:space="preserve">2. </w:t>
      </w:r>
      <w:r>
        <w:rPr>
          <w:rFonts w:hint="eastAsia" w:ascii="仿宋_GB2312" w:hAnsi="仿宋_GB2312" w:eastAsia="仿宋_GB2312" w:cs="仿宋_GB2312"/>
          <w:b w:val="0"/>
          <w:bCs w:val="0"/>
          <w:sz w:val="32"/>
          <w:szCs w:val="32"/>
          <w:lang w:val="en-US" w:eastAsia="zh-CN"/>
        </w:rPr>
        <w:t>企业</w:t>
      </w:r>
      <w:r>
        <w:rPr>
          <w:rFonts w:hint="eastAsia" w:ascii="仿宋_GB2312" w:hAnsi="仿宋_GB2312" w:eastAsia="仿宋_GB2312" w:cs="仿宋_GB2312"/>
          <w:b w:val="0"/>
          <w:bCs w:val="0"/>
          <w:sz w:val="32"/>
          <w:szCs w:val="32"/>
        </w:rPr>
        <w:t>资质：须具备主管部门颁发的水利工程施工监理乙级及以上资质</w:t>
      </w:r>
      <w:r>
        <w:rPr>
          <w:rFonts w:hint="eastAsia" w:ascii="仿宋_GB2312" w:hAnsi="仿宋_GB2312" w:eastAsia="仿宋_GB2312" w:cs="仿宋_GB2312"/>
          <w:b w:val="0"/>
          <w:bCs w:val="0"/>
          <w:sz w:val="32"/>
          <w:szCs w:val="32"/>
          <w:lang w:eastAsia="zh-CN"/>
        </w:rPr>
        <w:t>。</w:t>
      </w:r>
    </w:p>
    <w:p w14:paraId="2B18BD9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3. 人员要求：</w:t>
      </w:r>
      <w:r>
        <w:rPr>
          <w:rFonts w:hint="eastAsia" w:ascii="仿宋_GB2312" w:hAnsi="仿宋_GB2312" w:eastAsia="仿宋_GB2312" w:cs="仿宋_GB2312"/>
          <w:b w:val="0"/>
          <w:bCs w:val="0"/>
          <w:sz w:val="32"/>
          <w:szCs w:val="32"/>
          <w:lang w:val="en-US" w:eastAsia="zh-CN"/>
        </w:rPr>
        <w:t>监理公司负责人或负责招标工作相关业务负责人</w:t>
      </w:r>
      <w:r>
        <w:rPr>
          <w:rFonts w:hint="eastAsia" w:ascii="仿宋_GB2312" w:hAnsi="仿宋_GB2312" w:eastAsia="仿宋_GB2312" w:cs="仿宋_GB2312"/>
          <w:b w:val="0"/>
          <w:bCs w:val="0"/>
          <w:sz w:val="32"/>
          <w:szCs w:val="32"/>
        </w:rPr>
        <w:t>。</w:t>
      </w:r>
    </w:p>
    <w:p w14:paraId="086032C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4. 信用要求：供应商未被列入“信用中国”网站失信被执行人、重大税收违法失信主体、政府采购严重违法失信记录；未被列入中国政府采购网政府采购严重违法失信行为信息名单。</w:t>
      </w:r>
    </w:p>
    <w:p w14:paraId="16E38E7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b w:val="0"/>
          <w:bCs w:val="0"/>
          <w:sz w:val="32"/>
          <w:szCs w:val="32"/>
        </w:rPr>
        <w:t>. 禁止条件：单位负责人为同一人或者存在直接控股、管理关系的不同</w:t>
      </w:r>
      <w:r>
        <w:rPr>
          <w:rFonts w:hint="eastAsia" w:ascii="仿宋_GB2312" w:hAnsi="仿宋_GB2312" w:eastAsia="仿宋_GB2312" w:cs="仿宋_GB2312"/>
          <w:b w:val="0"/>
          <w:bCs w:val="0"/>
          <w:sz w:val="32"/>
          <w:szCs w:val="32"/>
          <w:lang w:val="en-US" w:eastAsia="zh-CN"/>
        </w:rPr>
        <w:t>潜在</w:t>
      </w:r>
      <w:r>
        <w:rPr>
          <w:rFonts w:hint="eastAsia" w:ascii="仿宋_GB2312" w:hAnsi="仿宋_GB2312" w:eastAsia="仿宋_GB2312" w:cs="仿宋_GB2312"/>
          <w:b w:val="0"/>
          <w:bCs w:val="0"/>
          <w:sz w:val="32"/>
          <w:szCs w:val="32"/>
        </w:rPr>
        <w:t>供应商，不得同时参与本次</w:t>
      </w:r>
      <w:r>
        <w:rPr>
          <w:rFonts w:hint="eastAsia" w:ascii="仿宋_GB2312" w:hAnsi="仿宋_GB2312" w:eastAsia="仿宋_GB2312" w:cs="仿宋_GB2312"/>
          <w:b w:val="0"/>
          <w:bCs w:val="0"/>
          <w:sz w:val="32"/>
          <w:szCs w:val="32"/>
          <w:lang w:val="en-US" w:eastAsia="zh-CN"/>
        </w:rPr>
        <w:t>调研</w:t>
      </w:r>
      <w:r>
        <w:rPr>
          <w:rFonts w:hint="eastAsia" w:ascii="仿宋_GB2312" w:hAnsi="仿宋_GB2312" w:eastAsia="仿宋_GB2312" w:cs="仿宋_GB2312"/>
          <w:b w:val="0"/>
          <w:bCs w:val="0"/>
          <w:sz w:val="32"/>
          <w:szCs w:val="32"/>
        </w:rPr>
        <w:t>活动。</w:t>
      </w:r>
    </w:p>
    <w:p w14:paraId="2DBD298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6</w:t>
      </w:r>
      <w:r>
        <w:rPr>
          <w:rFonts w:hint="eastAsia" w:ascii="仿宋_GB2312" w:hAnsi="仿宋_GB2312" w:eastAsia="仿宋_GB2312" w:cs="仿宋_GB2312"/>
          <w:b w:val="0"/>
          <w:bCs w:val="0"/>
          <w:sz w:val="32"/>
          <w:szCs w:val="32"/>
        </w:rPr>
        <w:t>. 履约能力：具备履行本项目监理服务所需的设备、技术能力、场地及完善的售后服务体系。</w:t>
      </w:r>
    </w:p>
    <w:p w14:paraId="1E887EE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rPr>
        <w:t>五、</w:t>
      </w:r>
      <w:r>
        <w:rPr>
          <w:rFonts w:hint="eastAsia" w:ascii="黑体" w:hAnsi="黑体" w:eastAsia="黑体" w:cs="黑体"/>
          <w:b w:val="0"/>
          <w:bCs w:val="0"/>
          <w:sz w:val="32"/>
          <w:szCs w:val="32"/>
          <w:lang w:val="en-US" w:eastAsia="zh-CN"/>
        </w:rPr>
        <w:t>其他事项</w:t>
      </w:r>
    </w:p>
    <w:p w14:paraId="17E2701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1.此次调研活动会议以集中调研的形式开展，会议地点设在淮北市水务局三楼东会议室，市外监理单位可以线上参会。</w:t>
      </w:r>
    </w:p>
    <w:p w14:paraId="76163D0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2.参与调研活动</w:t>
      </w:r>
      <w:r>
        <w:rPr>
          <w:rFonts w:hint="eastAsia" w:ascii="仿宋_GB2312" w:hAnsi="仿宋_GB2312" w:eastAsia="仿宋_GB2312" w:cs="仿宋_GB2312"/>
          <w:b w:val="0"/>
          <w:bCs w:val="0"/>
          <w:sz w:val="32"/>
          <w:szCs w:val="32"/>
        </w:rPr>
        <w:t>单位</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请登录淮北市公共资源交易中心自行获取投标文件，在认真研究投标文件中资质条件、资金安排、技术参数等基础上，书面提出建议和意见。</w:t>
      </w:r>
    </w:p>
    <w:p w14:paraId="363F778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3.参与调研活动单位需提供</w:t>
      </w:r>
      <w:r>
        <w:rPr>
          <w:rFonts w:hint="eastAsia" w:ascii="仿宋_GB2312" w:hAnsi="仿宋_GB2312" w:eastAsia="仿宋_GB2312" w:cs="仿宋_GB2312"/>
          <w:b w:val="0"/>
          <w:bCs w:val="0"/>
          <w:sz w:val="32"/>
          <w:szCs w:val="32"/>
        </w:rPr>
        <w:t>单位营业执照、资质证书、信用查询截图等。</w:t>
      </w:r>
    </w:p>
    <w:p w14:paraId="12095BB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4. 有效期：本次</w:t>
      </w:r>
      <w:r>
        <w:rPr>
          <w:rFonts w:hint="eastAsia" w:ascii="仿宋_GB2312" w:hAnsi="仿宋_GB2312" w:eastAsia="仿宋_GB2312" w:cs="仿宋_GB2312"/>
          <w:b w:val="0"/>
          <w:bCs w:val="0"/>
          <w:sz w:val="32"/>
          <w:szCs w:val="32"/>
          <w:lang w:val="en-US" w:eastAsia="zh-CN"/>
        </w:rPr>
        <w:t>调研公告截止日期为2026年8月20日</w:t>
      </w:r>
      <w:r>
        <w:rPr>
          <w:rFonts w:hint="eastAsia" w:ascii="仿宋_GB2312" w:hAnsi="仿宋_GB2312" w:eastAsia="仿宋_GB2312" w:cs="仿宋_GB2312"/>
          <w:b w:val="0"/>
          <w:bCs w:val="0"/>
          <w:sz w:val="32"/>
          <w:szCs w:val="32"/>
        </w:rPr>
        <w:t>。</w:t>
      </w:r>
    </w:p>
    <w:p w14:paraId="09BDB69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lang w:val="en-US" w:eastAsia="zh-CN"/>
        </w:rPr>
        <w:t>六</w:t>
      </w:r>
      <w:r>
        <w:rPr>
          <w:rFonts w:hint="eastAsia" w:ascii="黑体" w:hAnsi="黑体" w:eastAsia="黑体" w:cs="黑体"/>
          <w:b w:val="0"/>
          <w:bCs w:val="0"/>
          <w:sz w:val="32"/>
          <w:szCs w:val="32"/>
        </w:rPr>
        <w:t>、</w:t>
      </w:r>
      <w:r>
        <w:rPr>
          <w:rFonts w:hint="eastAsia" w:ascii="黑体" w:hAnsi="黑体" w:eastAsia="黑体" w:cs="黑体"/>
          <w:b w:val="0"/>
          <w:bCs w:val="0"/>
          <w:sz w:val="32"/>
          <w:szCs w:val="32"/>
          <w:lang w:val="en-US" w:eastAsia="zh-CN"/>
        </w:rPr>
        <w:t>报名</w:t>
      </w:r>
      <w:r>
        <w:rPr>
          <w:rFonts w:hint="eastAsia" w:ascii="黑体" w:hAnsi="黑体" w:eastAsia="黑体" w:cs="黑体"/>
          <w:b w:val="0"/>
          <w:bCs w:val="0"/>
          <w:sz w:val="32"/>
          <w:szCs w:val="32"/>
        </w:rPr>
        <w:t>方式</w:t>
      </w:r>
    </w:p>
    <w:p w14:paraId="6533B5E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参与调研活动单位</w:t>
      </w:r>
      <w:r>
        <w:rPr>
          <w:rFonts w:hint="eastAsia" w:ascii="仿宋_GB2312" w:hAnsi="仿宋_GB2312" w:eastAsia="仿宋_GB2312" w:cs="仿宋_GB2312"/>
          <w:b w:val="0"/>
          <w:bCs w:val="0"/>
          <w:sz w:val="32"/>
          <w:szCs w:val="32"/>
          <w:lang w:val="en-US" w:eastAsia="zh-CN"/>
        </w:rPr>
        <w:t>填写调研报名表（见附件），发送指定邮箱。</w:t>
      </w:r>
    </w:p>
    <w:p w14:paraId="22E3410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联系人：</w:t>
      </w:r>
      <w:r>
        <w:rPr>
          <w:rFonts w:hint="eastAsia" w:ascii="仿宋_GB2312" w:hAnsi="仿宋_GB2312" w:eastAsia="仿宋_GB2312" w:cs="仿宋_GB2312"/>
          <w:b w:val="0"/>
          <w:bCs w:val="0"/>
          <w:sz w:val="32"/>
          <w:szCs w:val="32"/>
          <w:lang w:val="en-US" w:eastAsia="zh-CN"/>
        </w:rPr>
        <w:t>孟买</w:t>
      </w:r>
    </w:p>
    <w:p w14:paraId="307D539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rPr>
        <w:t>联系电话：</w:t>
      </w:r>
      <w:r>
        <w:rPr>
          <w:rFonts w:hint="eastAsia" w:ascii="仿宋_GB2312" w:hAnsi="仿宋_GB2312" w:eastAsia="仿宋_GB2312" w:cs="仿宋_GB2312"/>
          <w:b w:val="0"/>
          <w:bCs w:val="0"/>
          <w:sz w:val="32"/>
          <w:szCs w:val="32"/>
          <w:lang w:val="en-US" w:eastAsia="zh-CN"/>
        </w:rPr>
        <w:t>0561-3192831 手机：19055053605</w:t>
      </w:r>
    </w:p>
    <w:p w14:paraId="23F720F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电子邮箱：hbshdglzx@126.com</w:t>
      </w:r>
    </w:p>
    <w:p w14:paraId="0A5E4A8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lang w:val="en-US" w:eastAsia="zh-CN"/>
        </w:rPr>
      </w:pPr>
    </w:p>
    <w:p w14:paraId="0C3E613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lang w:val="en-US" w:eastAsia="zh-CN"/>
        </w:rPr>
      </w:pPr>
    </w:p>
    <w:p w14:paraId="1C5B115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lang w:val="en-US" w:eastAsia="zh-CN"/>
        </w:rPr>
      </w:pPr>
    </w:p>
    <w:p w14:paraId="3D63794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lang w:val="en-US" w:eastAsia="zh-CN"/>
        </w:rPr>
      </w:pPr>
    </w:p>
    <w:p w14:paraId="5D4FAF9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lang w:val="en-US" w:eastAsia="zh-CN"/>
        </w:rPr>
      </w:pPr>
    </w:p>
    <w:p w14:paraId="0DC4DF9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lang w:val="en-US" w:eastAsia="zh-CN"/>
        </w:rPr>
      </w:pPr>
    </w:p>
    <w:p w14:paraId="62248A6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sz w:val="32"/>
          <w:szCs w:val="32"/>
          <w:lang w:val="en-US" w:eastAsia="zh-CN"/>
        </w:rPr>
      </w:pPr>
    </w:p>
    <w:p w14:paraId="4AF1178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val="0"/>
          <w:sz w:val="32"/>
          <w:szCs w:val="32"/>
          <w:lang w:val="en-US" w:eastAsia="zh-CN"/>
        </w:rPr>
      </w:pPr>
    </w:p>
    <w:p w14:paraId="27C9242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val="0"/>
          <w:sz w:val="32"/>
          <w:szCs w:val="32"/>
          <w:lang w:val="en-US" w:eastAsia="zh-CN"/>
        </w:rPr>
      </w:pPr>
    </w:p>
    <w:p w14:paraId="4FAF89A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val="0"/>
          <w:sz w:val="32"/>
          <w:szCs w:val="32"/>
          <w:lang w:val="en-US" w:eastAsia="zh-CN"/>
        </w:rPr>
      </w:pPr>
    </w:p>
    <w:p w14:paraId="2E29C18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val="0"/>
          <w:sz w:val="32"/>
          <w:szCs w:val="32"/>
          <w:lang w:val="en-US" w:eastAsia="zh-CN"/>
        </w:rPr>
      </w:pPr>
    </w:p>
    <w:p w14:paraId="73DE25E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val="0"/>
          <w:sz w:val="32"/>
          <w:szCs w:val="32"/>
          <w:lang w:val="en-US" w:eastAsia="zh-CN"/>
        </w:rPr>
      </w:pPr>
    </w:p>
    <w:p w14:paraId="0807FA7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val="0"/>
          <w:sz w:val="32"/>
          <w:szCs w:val="32"/>
          <w:lang w:val="en-US" w:eastAsia="zh-CN"/>
        </w:rPr>
      </w:pPr>
    </w:p>
    <w:p w14:paraId="784D498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val="0"/>
          <w:sz w:val="32"/>
          <w:szCs w:val="32"/>
          <w:lang w:val="en-US" w:eastAsia="zh-CN"/>
        </w:rPr>
      </w:pPr>
    </w:p>
    <w:p w14:paraId="2C2F630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val="0"/>
          <w:sz w:val="32"/>
          <w:szCs w:val="32"/>
          <w:lang w:val="en-US" w:eastAsia="zh-CN"/>
        </w:rPr>
      </w:pPr>
    </w:p>
    <w:p w14:paraId="4E1EE21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val="0"/>
          <w:sz w:val="32"/>
          <w:szCs w:val="32"/>
          <w:lang w:val="en-US" w:eastAsia="zh-CN"/>
        </w:rPr>
      </w:pPr>
    </w:p>
    <w:p w14:paraId="2851B9BC">
      <w:pPr>
        <w:keepNext w:val="0"/>
        <w:keepLines w:val="0"/>
        <w:pageBreakBefore w:val="0"/>
        <w:widowControl w:val="0"/>
        <w:kinsoku/>
        <w:wordWrap/>
        <w:overflowPunct/>
        <w:topLinePunct w:val="0"/>
        <w:autoSpaceDE/>
        <w:autoSpaceDN/>
        <w:bidi/>
        <w:adjustRightInd/>
        <w:snapToGrid/>
        <w:spacing w:line="580" w:lineRule="exact"/>
        <w:ind w:left="0" w:leftChars="0" w:firstLine="0" w:firstLineChars="0"/>
        <w:jc w:val="center"/>
        <w:textAlignment w:val="auto"/>
        <w:rPr>
          <w:rFonts w:hint="eastAsia" w:ascii="方正小标宋简体" w:hAnsi="方正小标宋简体" w:eastAsia="方正小标宋简体" w:cs="方正小标宋简体"/>
          <w:b w:val="0"/>
          <w:bCs w:val="0"/>
          <w:sz w:val="30"/>
          <w:szCs w:val="30"/>
        </w:rPr>
        <w:sectPr>
          <w:pgSz w:w="11906" w:h="16838"/>
          <w:pgMar w:top="2041" w:right="1587" w:bottom="1984" w:left="1587" w:header="851" w:footer="992" w:gutter="0"/>
          <w:cols w:space="425" w:num="1"/>
          <w:docGrid w:type="lines" w:linePitch="312" w:charSpace="0"/>
        </w:sectPr>
      </w:pPr>
    </w:p>
    <w:p w14:paraId="0B52D55B">
      <w:pPr>
        <w:keepNext w:val="0"/>
        <w:keepLines w:val="0"/>
        <w:pageBreakBefore w:val="0"/>
        <w:widowControl w:val="0"/>
        <w:kinsoku/>
        <w:wordWrap/>
        <w:overflowPunct/>
        <w:topLinePunct w:val="0"/>
        <w:autoSpaceDE/>
        <w:autoSpaceDN/>
        <w:bidi/>
        <w:adjustRightInd/>
        <w:snapToGrid/>
        <w:spacing w:line="580" w:lineRule="exact"/>
        <w:ind w:left="0" w:leftChars="0" w:firstLine="0" w:firstLineChars="0"/>
        <w:jc w:val="center"/>
        <w:textAlignment w:val="auto"/>
        <w:rPr>
          <w:rFonts w:hint="eastAsia" w:ascii="方正小标宋简体" w:hAnsi="方正小标宋简体" w:eastAsia="方正小标宋简体" w:cs="方正小标宋简体"/>
          <w:b w:val="0"/>
          <w:bCs w:val="0"/>
          <w:sz w:val="30"/>
          <w:szCs w:val="30"/>
          <w:lang w:val="en-US" w:eastAsia="zh-CN"/>
        </w:rPr>
      </w:pPr>
      <w:r>
        <w:rPr>
          <w:rFonts w:hint="eastAsia" w:ascii="方正小标宋简体" w:hAnsi="方正小标宋简体" w:eastAsia="方正小标宋简体" w:cs="方正小标宋简体"/>
          <w:b w:val="0"/>
          <w:bCs w:val="0"/>
          <w:sz w:val="30"/>
          <w:szCs w:val="30"/>
        </w:rPr>
        <w:t>淮北市高新区龙湖排涝泵站扩容改造工程项目</w:t>
      </w:r>
      <w:r>
        <w:rPr>
          <w:rFonts w:hint="eastAsia" w:ascii="方正小标宋简体" w:hAnsi="方正小标宋简体" w:eastAsia="方正小标宋简体" w:cs="方正小标宋简体"/>
          <w:b w:val="0"/>
          <w:bCs w:val="0"/>
          <w:sz w:val="30"/>
          <w:szCs w:val="30"/>
          <w:lang w:val="en-US" w:eastAsia="zh-CN"/>
        </w:rPr>
        <w:t>投标文件调研报名表</w:t>
      </w:r>
    </w:p>
    <w:p w14:paraId="5F181C1F">
      <w:pPr>
        <w:keepNext w:val="0"/>
        <w:keepLines w:val="0"/>
        <w:pageBreakBefore w:val="0"/>
        <w:widowControl w:val="0"/>
        <w:kinsoku/>
        <w:wordWrap/>
        <w:overflowPunct/>
        <w:topLinePunct w:val="0"/>
        <w:autoSpaceDE/>
        <w:autoSpaceDN/>
        <w:bidi/>
        <w:adjustRightInd/>
        <w:snapToGrid/>
        <w:spacing w:line="580" w:lineRule="exact"/>
        <w:ind w:left="0" w:leftChars="0" w:firstLine="0" w:firstLineChars="0"/>
        <w:jc w:val="center"/>
        <w:textAlignment w:val="auto"/>
        <w:rPr>
          <w:rFonts w:hint="eastAsia" w:ascii="方正小标宋简体" w:hAnsi="方正小标宋简体" w:eastAsia="方正小标宋简体" w:cs="方正小标宋简体"/>
          <w:b w:val="0"/>
          <w:bCs w:val="0"/>
          <w:sz w:val="30"/>
          <w:szCs w:val="30"/>
          <w:lang w:val="en-US" w:eastAsia="zh-CN"/>
        </w:rPr>
      </w:pPr>
    </w:p>
    <w:tbl>
      <w:tblPr>
        <w:tblStyle w:val="5"/>
        <w:bidiVisual/>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1"/>
        <w:gridCol w:w="3722"/>
        <w:gridCol w:w="1861"/>
        <w:gridCol w:w="1861"/>
        <w:gridCol w:w="1862"/>
        <w:gridCol w:w="1862"/>
      </w:tblGrid>
      <w:tr w14:paraId="16797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67" w:type="dxa"/>
            <w:gridSpan w:val="5"/>
            <w:vAlign w:val="center"/>
          </w:tcPr>
          <w:p w14:paraId="7CF81BBF">
            <w:pPr>
              <w:keepNext w:val="0"/>
              <w:keepLines w:val="0"/>
              <w:pageBreakBefore w:val="0"/>
              <w:widowControl w:val="0"/>
              <w:kinsoku/>
              <w:wordWrap/>
              <w:overflowPunct/>
              <w:topLinePunct w:val="0"/>
              <w:autoSpaceDE/>
              <w:autoSpaceDN/>
              <w:bidi/>
              <w:adjustRightInd/>
              <w:snapToGrid/>
              <w:spacing w:line="580" w:lineRule="exact"/>
              <w:jc w:val="center"/>
              <w:textAlignment w:val="auto"/>
              <w:rPr>
                <w:rFonts w:hint="default" w:asciiTheme="minorEastAsia" w:hAnsiTheme="minorEastAsia" w:eastAsiaTheme="minorEastAsia" w:cstheme="minorEastAsia"/>
                <w:b w:val="0"/>
                <w:bCs w:val="0"/>
                <w:sz w:val="28"/>
                <w:szCs w:val="28"/>
                <w:vertAlign w:val="baseline"/>
                <w:lang w:val="en-US" w:eastAsia="zh-CN"/>
              </w:rPr>
            </w:pPr>
          </w:p>
        </w:tc>
        <w:tc>
          <w:tcPr>
            <w:tcW w:w="1862" w:type="dxa"/>
            <w:vAlign w:val="center"/>
          </w:tcPr>
          <w:p w14:paraId="166C22FD">
            <w:pPr>
              <w:keepNext w:val="0"/>
              <w:keepLines w:val="0"/>
              <w:pageBreakBefore w:val="0"/>
              <w:widowControl w:val="0"/>
              <w:kinsoku/>
              <w:wordWrap/>
              <w:overflowPunct/>
              <w:topLinePunct w:val="0"/>
              <w:autoSpaceDE/>
              <w:autoSpaceDN/>
              <w:bidi/>
              <w:adjustRightInd/>
              <w:snapToGrid/>
              <w:spacing w:line="580" w:lineRule="exact"/>
              <w:jc w:val="center"/>
              <w:textAlignment w:val="auto"/>
              <w:rPr>
                <w:rFonts w:hint="eastAsia" w:asciiTheme="minorEastAsia" w:hAnsi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单位名称</w:t>
            </w:r>
          </w:p>
          <w:p w14:paraId="65F41A92">
            <w:pPr>
              <w:keepNext w:val="0"/>
              <w:keepLines w:val="0"/>
              <w:pageBreakBefore w:val="0"/>
              <w:widowControl w:val="0"/>
              <w:kinsoku/>
              <w:wordWrap/>
              <w:overflowPunct/>
              <w:topLinePunct w:val="0"/>
              <w:autoSpaceDE/>
              <w:autoSpaceDN/>
              <w:bidi/>
              <w:adjustRightInd/>
              <w:snapToGrid/>
              <w:spacing w:line="580" w:lineRule="exact"/>
              <w:jc w:val="center"/>
              <w:textAlignment w:val="auto"/>
              <w:rPr>
                <w:rFonts w:hint="default" w:asciiTheme="minorEastAsia" w:hAnsi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（盖章）</w:t>
            </w:r>
          </w:p>
        </w:tc>
      </w:tr>
      <w:tr w14:paraId="60C9A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1" w:type="dxa"/>
            <w:vAlign w:val="center"/>
          </w:tcPr>
          <w:p w14:paraId="563058F0">
            <w:pPr>
              <w:keepNext w:val="0"/>
              <w:keepLines w:val="0"/>
              <w:pageBreakBefore w:val="0"/>
              <w:widowControl w:val="0"/>
              <w:kinsoku/>
              <w:wordWrap/>
              <w:overflowPunct/>
              <w:topLinePunct w:val="0"/>
              <w:autoSpaceDE/>
              <w:autoSpaceDN/>
              <w:bidi/>
              <w:adjustRightInd/>
              <w:snapToGrid/>
              <w:spacing w:line="580" w:lineRule="exact"/>
              <w:jc w:val="center"/>
              <w:textAlignment w:val="auto"/>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备注</w:t>
            </w:r>
          </w:p>
        </w:tc>
        <w:tc>
          <w:tcPr>
            <w:tcW w:w="3722" w:type="dxa"/>
            <w:vAlign w:val="center"/>
          </w:tcPr>
          <w:p w14:paraId="625B334D">
            <w:pPr>
              <w:keepNext w:val="0"/>
              <w:keepLines w:val="0"/>
              <w:pageBreakBefore w:val="0"/>
              <w:widowControl w:val="0"/>
              <w:kinsoku/>
              <w:wordWrap/>
              <w:overflowPunct/>
              <w:topLinePunct w:val="0"/>
              <w:autoSpaceDE/>
              <w:autoSpaceDN/>
              <w:bidi/>
              <w:adjustRightInd/>
              <w:snapToGrid/>
              <w:spacing w:line="580" w:lineRule="exact"/>
              <w:jc w:val="center"/>
              <w:textAlignment w:val="auto"/>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手机</w:t>
            </w:r>
          </w:p>
        </w:tc>
        <w:tc>
          <w:tcPr>
            <w:tcW w:w="1861" w:type="dxa"/>
            <w:vAlign w:val="center"/>
          </w:tcPr>
          <w:p w14:paraId="79CA47D3">
            <w:pPr>
              <w:keepNext w:val="0"/>
              <w:keepLines w:val="0"/>
              <w:pageBreakBefore w:val="0"/>
              <w:widowControl w:val="0"/>
              <w:kinsoku/>
              <w:wordWrap/>
              <w:overflowPunct/>
              <w:topLinePunct w:val="0"/>
              <w:autoSpaceDE/>
              <w:autoSpaceDN/>
              <w:bidi/>
              <w:adjustRightInd/>
              <w:snapToGrid/>
              <w:spacing w:line="580" w:lineRule="exact"/>
              <w:jc w:val="center"/>
              <w:textAlignment w:val="auto"/>
              <w:rPr>
                <w:rFonts w:hint="default" w:asciiTheme="minorEastAsia" w:hAnsiTheme="minorEastAsia" w:eastAsiaTheme="minorEastAsia" w:cstheme="minorEastAsia"/>
                <w:b w:val="0"/>
                <w:bCs w:val="0"/>
                <w:sz w:val="28"/>
                <w:szCs w:val="28"/>
                <w:vertAlign w:val="baseline"/>
                <w:lang w:val="en-US" w:eastAsia="zh-CN"/>
              </w:rPr>
            </w:pPr>
            <w:r>
              <w:rPr>
                <w:rFonts w:hint="eastAsia" w:asciiTheme="minorEastAsia" w:hAnsiTheme="minorEastAsia" w:cstheme="minorEastAsia"/>
                <w:b w:val="0"/>
                <w:bCs w:val="0"/>
                <w:sz w:val="28"/>
                <w:szCs w:val="28"/>
                <w:vertAlign w:val="baseline"/>
                <w:lang w:val="en-US" w:eastAsia="zh-CN"/>
              </w:rPr>
              <w:t>电话</w:t>
            </w:r>
          </w:p>
        </w:tc>
        <w:tc>
          <w:tcPr>
            <w:tcW w:w="1861" w:type="dxa"/>
            <w:vAlign w:val="center"/>
          </w:tcPr>
          <w:p w14:paraId="498886E7">
            <w:pPr>
              <w:keepNext w:val="0"/>
              <w:keepLines w:val="0"/>
              <w:pageBreakBefore w:val="0"/>
              <w:widowControl w:val="0"/>
              <w:kinsoku/>
              <w:wordWrap/>
              <w:overflowPunct/>
              <w:topLinePunct w:val="0"/>
              <w:autoSpaceDE/>
              <w:autoSpaceDN/>
              <w:bidi/>
              <w:adjustRightInd/>
              <w:snapToGrid/>
              <w:spacing w:line="580" w:lineRule="exact"/>
              <w:jc w:val="center"/>
              <w:textAlignment w:val="auto"/>
              <w:rPr>
                <w:rFonts w:hint="eastAsia" w:asciiTheme="majorEastAsia" w:hAnsiTheme="majorEastAsia" w:eastAsiaTheme="majorEastAsia" w:cstheme="majorEastAsia"/>
                <w:b w:val="0"/>
                <w:bCs w:val="0"/>
                <w:sz w:val="28"/>
                <w:szCs w:val="28"/>
                <w:vertAlign w:val="baseline"/>
                <w:lang w:val="en-US" w:eastAsia="zh-CN"/>
              </w:rPr>
            </w:pPr>
            <w:r>
              <w:rPr>
                <w:rFonts w:hint="eastAsia" w:asciiTheme="majorEastAsia" w:hAnsiTheme="majorEastAsia" w:eastAsiaTheme="majorEastAsia" w:cstheme="majorEastAsia"/>
                <w:b w:val="0"/>
                <w:bCs w:val="0"/>
                <w:sz w:val="28"/>
                <w:szCs w:val="28"/>
                <w:vertAlign w:val="baseline"/>
                <w:lang w:val="en-US" w:eastAsia="zh-CN"/>
              </w:rPr>
              <w:t>职务⁄职称</w:t>
            </w:r>
          </w:p>
        </w:tc>
        <w:tc>
          <w:tcPr>
            <w:tcW w:w="1862" w:type="dxa"/>
            <w:vAlign w:val="center"/>
          </w:tcPr>
          <w:p w14:paraId="76F6C8DA">
            <w:pPr>
              <w:keepNext w:val="0"/>
              <w:keepLines w:val="0"/>
              <w:pageBreakBefore w:val="0"/>
              <w:widowControl w:val="0"/>
              <w:kinsoku/>
              <w:wordWrap/>
              <w:overflowPunct/>
              <w:topLinePunct w:val="0"/>
              <w:autoSpaceDE/>
              <w:autoSpaceDN/>
              <w:bidi/>
              <w:adjustRightInd/>
              <w:snapToGrid/>
              <w:spacing w:line="580" w:lineRule="exact"/>
              <w:jc w:val="center"/>
              <w:textAlignment w:val="auto"/>
              <w:rPr>
                <w:rFonts w:hint="eastAsia" w:asciiTheme="majorEastAsia" w:hAnsiTheme="majorEastAsia" w:eastAsiaTheme="majorEastAsia" w:cstheme="majorEastAsia"/>
                <w:b w:val="0"/>
                <w:bCs w:val="0"/>
                <w:sz w:val="28"/>
                <w:szCs w:val="28"/>
                <w:vertAlign w:val="baseline"/>
                <w:lang w:val="en-US" w:eastAsia="zh-CN"/>
              </w:rPr>
            </w:pPr>
            <w:r>
              <w:rPr>
                <w:rFonts w:hint="eastAsia" w:asciiTheme="majorEastAsia" w:hAnsiTheme="majorEastAsia" w:eastAsiaTheme="majorEastAsia" w:cstheme="majorEastAsia"/>
                <w:b w:val="0"/>
                <w:bCs w:val="0"/>
                <w:sz w:val="28"/>
                <w:szCs w:val="28"/>
                <w:vertAlign w:val="baseline"/>
                <w:lang w:val="en-US" w:eastAsia="zh-CN"/>
              </w:rPr>
              <w:t>性别</w:t>
            </w:r>
          </w:p>
        </w:tc>
        <w:tc>
          <w:tcPr>
            <w:tcW w:w="1862" w:type="dxa"/>
            <w:vAlign w:val="center"/>
          </w:tcPr>
          <w:p w14:paraId="37327E1A">
            <w:pPr>
              <w:keepNext w:val="0"/>
              <w:keepLines w:val="0"/>
              <w:pageBreakBefore w:val="0"/>
              <w:widowControl w:val="0"/>
              <w:kinsoku/>
              <w:wordWrap/>
              <w:overflowPunct/>
              <w:topLinePunct w:val="0"/>
              <w:autoSpaceDE/>
              <w:autoSpaceDN/>
              <w:bidi/>
              <w:adjustRightInd/>
              <w:snapToGrid/>
              <w:spacing w:line="580" w:lineRule="exact"/>
              <w:jc w:val="center"/>
              <w:textAlignment w:val="auto"/>
              <w:rPr>
                <w:rFonts w:hint="eastAsia" w:asciiTheme="majorEastAsia" w:hAnsiTheme="majorEastAsia" w:eastAsiaTheme="majorEastAsia" w:cstheme="majorEastAsia"/>
                <w:b w:val="0"/>
                <w:bCs w:val="0"/>
                <w:sz w:val="28"/>
                <w:szCs w:val="28"/>
                <w:vertAlign w:val="baseline"/>
                <w:lang w:val="en-US" w:eastAsia="zh-CN"/>
              </w:rPr>
            </w:pPr>
            <w:r>
              <w:rPr>
                <w:rFonts w:hint="eastAsia" w:asciiTheme="majorEastAsia" w:hAnsiTheme="majorEastAsia" w:eastAsiaTheme="majorEastAsia" w:cstheme="majorEastAsia"/>
                <w:b w:val="0"/>
                <w:bCs w:val="0"/>
                <w:sz w:val="28"/>
                <w:szCs w:val="28"/>
                <w:vertAlign w:val="baseline"/>
                <w:lang w:val="en-US" w:eastAsia="zh-CN"/>
              </w:rPr>
              <w:t>姓名</w:t>
            </w:r>
          </w:p>
        </w:tc>
      </w:tr>
      <w:tr w14:paraId="49DF1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1" w:type="dxa"/>
            <w:vAlign w:val="center"/>
          </w:tcPr>
          <w:p w14:paraId="2391D5FE">
            <w:pPr>
              <w:keepNext w:val="0"/>
              <w:keepLines w:val="0"/>
              <w:pageBreakBefore w:val="0"/>
              <w:widowControl w:val="0"/>
              <w:kinsoku/>
              <w:wordWrap/>
              <w:overflowPunct/>
              <w:topLinePunct w:val="0"/>
              <w:autoSpaceDE/>
              <w:autoSpaceDN/>
              <w:bidi/>
              <w:adjustRightInd/>
              <w:snapToGrid/>
              <w:spacing w:line="580" w:lineRule="exact"/>
              <w:jc w:val="both"/>
              <w:textAlignment w:val="auto"/>
              <w:rPr>
                <w:rFonts w:hint="eastAsia" w:asciiTheme="minorEastAsia" w:hAnsiTheme="minorEastAsia" w:eastAsiaTheme="minorEastAsia" w:cstheme="minorEastAsia"/>
                <w:b w:val="0"/>
                <w:bCs w:val="0"/>
                <w:sz w:val="30"/>
                <w:szCs w:val="30"/>
                <w:vertAlign w:val="baseline"/>
                <w:lang w:val="en-US" w:eastAsia="zh-CN"/>
              </w:rPr>
            </w:pPr>
          </w:p>
        </w:tc>
        <w:tc>
          <w:tcPr>
            <w:tcW w:w="3722" w:type="dxa"/>
            <w:vAlign w:val="center"/>
          </w:tcPr>
          <w:p w14:paraId="37B10FA6">
            <w:pPr>
              <w:keepNext w:val="0"/>
              <w:keepLines w:val="0"/>
              <w:pageBreakBefore w:val="0"/>
              <w:widowControl w:val="0"/>
              <w:kinsoku/>
              <w:wordWrap/>
              <w:overflowPunct/>
              <w:topLinePunct w:val="0"/>
              <w:autoSpaceDE/>
              <w:autoSpaceDN/>
              <w:bidi/>
              <w:adjustRightInd/>
              <w:snapToGrid/>
              <w:spacing w:line="580" w:lineRule="exact"/>
              <w:jc w:val="both"/>
              <w:textAlignment w:val="auto"/>
              <w:rPr>
                <w:rFonts w:hint="eastAsia" w:asciiTheme="minorEastAsia" w:hAnsiTheme="minorEastAsia" w:eastAsiaTheme="minorEastAsia" w:cstheme="minorEastAsia"/>
                <w:b w:val="0"/>
                <w:bCs w:val="0"/>
                <w:sz w:val="30"/>
                <w:szCs w:val="30"/>
                <w:vertAlign w:val="baseline"/>
                <w:lang w:val="en-US" w:eastAsia="zh-CN"/>
              </w:rPr>
            </w:pPr>
          </w:p>
        </w:tc>
        <w:tc>
          <w:tcPr>
            <w:tcW w:w="1861" w:type="dxa"/>
            <w:vAlign w:val="center"/>
          </w:tcPr>
          <w:p w14:paraId="58AA7EC6">
            <w:pPr>
              <w:keepNext w:val="0"/>
              <w:keepLines w:val="0"/>
              <w:pageBreakBefore w:val="0"/>
              <w:widowControl w:val="0"/>
              <w:kinsoku/>
              <w:wordWrap/>
              <w:overflowPunct/>
              <w:topLinePunct w:val="0"/>
              <w:autoSpaceDE/>
              <w:autoSpaceDN/>
              <w:bidi/>
              <w:adjustRightInd/>
              <w:snapToGrid/>
              <w:spacing w:line="580" w:lineRule="exact"/>
              <w:jc w:val="both"/>
              <w:textAlignment w:val="auto"/>
              <w:rPr>
                <w:rFonts w:hint="eastAsia" w:asciiTheme="minorEastAsia" w:hAnsiTheme="minorEastAsia" w:eastAsiaTheme="minorEastAsia" w:cstheme="minorEastAsia"/>
                <w:b w:val="0"/>
                <w:bCs w:val="0"/>
                <w:sz w:val="30"/>
                <w:szCs w:val="30"/>
                <w:vertAlign w:val="baseline"/>
                <w:lang w:val="en-US" w:eastAsia="zh-CN"/>
              </w:rPr>
            </w:pPr>
          </w:p>
        </w:tc>
        <w:tc>
          <w:tcPr>
            <w:tcW w:w="1861" w:type="dxa"/>
            <w:vAlign w:val="center"/>
          </w:tcPr>
          <w:p w14:paraId="4E32A57E">
            <w:pPr>
              <w:keepNext w:val="0"/>
              <w:keepLines w:val="0"/>
              <w:pageBreakBefore w:val="0"/>
              <w:widowControl w:val="0"/>
              <w:kinsoku/>
              <w:wordWrap/>
              <w:overflowPunct/>
              <w:topLinePunct w:val="0"/>
              <w:autoSpaceDE/>
              <w:autoSpaceDN/>
              <w:bidi/>
              <w:adjustRightInd/>
              <w:snapToGrid/>
              <w:spacing w:line="580" w:lineRule="exact"/>
              <w:jc w:val="both"/>
              <w:textAlignment w:val="auto"/>
              <w:rPr>
                <w:rFonts w:hint="eastAsia" w:asciiTheme="minorEastAsia" w:hAnsiTheme="minorEastAsia" w:eastAsiaTheme="minorEastAsia" w:cstheme="minorEastAsia"/>
                <w:b w:val="0"/>
                <w:bCs w:val="0"/>
                <w:sz w:val="30"/>
                <w:szCs w:val="30"/>
                <w:vertAlign w:val="baseline"/>
                <w:lang w:val="en-US" w:eastAsia="zh-CN"/>
              </w:rPr>
            </w:pPr>
          </w:p>
        </w:tc>
        <w:tc>
          <w:tcPr>
            <w:tcW w:w="1862" w:type="dxa"/>
            <w:vAlign w:val="center"/>
          </w:tcPr>
          <w:p w14:paraId="1C5EAD29">
            <w:pPr>
              <w:keepNext w:val="0"/>
              <w:keepLines w:val="0"/>
              <w:pageBreakBefore w:val="0"/>
              <w:widowControl w:val="0"/>
              <w:kinsoku/>
              <w:wordWrap/>
              <w:overflowPunct/>
              <w:topLinePunct w:val="0"/>
              <w:autoSpaceDE/>
              <w:autoSpaceDN/>
              <w:bidi/>
              <w:adjustRightInd/>
              <w:snapToGrid/>
              <w:spacing w:line="580" w:lineRule="exact"/>
              <w:jc w:val="both"/>
              <w:textAlignment w:val="auto"/>
              <w:rPr>
                <w:rFonts w:hint="eastAsia" w:asciiTheme="minorEastAsia" w:hAnsiTheme="minorEastAsia" w:eastAsiaTheme="minorEastAsia" w:cstheme="minorEastAsia"/>
                <w:b w:val="0"/>
                <w:bCs w:val="0"/>
                <w:sz w:val="30"/>
                <w:szCs w:val="30"/>
                <w:vertAlign w:val="baseline"/>
                <w:lang w:val="en-US" w:eastAsia="zh-CN"/>
              </w:rPr>
            </w:pPr>
          </w:p>
        </w:tc>
        <w:tc>
          <w:tcPr>
            <w:tcW w:w="1862" w:type="dxa"/>
            <w:vAlign w:val="center"/>
          </w:tcPr>
          <w:p w14:paraId="02DAAE48">
            <w:pPr>
              <w:keepNext w:val="0"/>
              <w:keepLines w:val="0"/>
              <w:pageBreakBefore w:val="0"/>
              <w:widowControl w:val="0"/>
              <w:kinsoku/>
              <w:wordWrap/>
              <w:overflowPunct/>
              <w:topLinePunct w:val="0"/>
              <w:autoSpaceDE/>
              <w:autoSpaceDN/>
              <w:bidi/>
              <w:adjustRightInd/>
              <w:snapToGrid/>
              <w:spacing w:line="580" w:lineRule="exact"/>
              <w:jc w:val="both"/>
              <w:textAlignment w:val="auto"/>
              <w:rPr>
                <w:rFonts w:hint="eastAsia" w:asciiTheme="minorEastAsia" w:hAnsiTheme="minorEastAsia" w:eastAsiaTheme="minorEastAsia" w:cstheme="minorEastAsia"/>
                <w:b w:val="0"/>
                <w:bCs w:val="0"/>
                <w:sz w:val="30"/>
                <w:szCs w:val="30"/>
                <w:vertAlign w:val="baseline"/>
                <w:lang w:val="en-US" w:eastAsia="zh-CN"/>
              </w:rPr>
            </w:pPr>
          </w:p>
        </w:tc>
      </w:tr>
      <w:tr w14:paraId="0D784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1" w:type="dxa"/>
            <w:vAlign w:val="center"/>
          </w:tcPr>
          <w:p w14:paraId="560410E3">
            <w:pPr>
              <w:keepNext w:val="0"/>
              <w:keepLines w:val="0"/>
              <w:pageBreakBefore w:val="0"/>
              <w:widowControl w:val="0"/>
              <w:kinsoku/>
              <w:wordWrap/>
              <w:overflowPunct/>
              <w:topLinePunct w:val="0"/>
              <w:autoSpaceDE/>
              <w:autoSpaceDN/>
              <w:bidi/>
              <w:adjustRightInd/>
              <w:snapToGrid/>
              <w:spacing w:line="580" w:lineRule="exact"/>
              <w:jc w:val="both"/>
              <w:textAlignment w:val="auto"/>
              <w:rPr>
                <w:rFonts w:hint="eastAsia" w:asciiTheme="minorEastAsia" w:hAnsiTheme="minorEastAsia" w:eastAsiaTheme="minorEastAsia" w:cstheme="minorEastAsia"/>
                <w:b w:val="0"/>
                <w:bCs w:val="0"/>
                <w:sz w:val="30"/>
                <w:szCs w:val="30"/>
                <w:vertAlign w:val="baseline"/>
                <w:lang w:val="en-US" w:eastAsia="zh-CN"/>
              </w:rPr>
            </w:pPr>
          </w:p>
        </w:tc>
        <w:tc>
          <w:tcPr>
            <w:tcW w:w="3722" w:type="dxa"/>
            <w:vAlign w:val="center"/>
          </w:tcPr>
          <w:p w14:paraId="15E05CAC">
            <w:pPr>
              <w:keepNext w:val="0"/>
              <w:keepLines w:val="0"/>
              <w:pageBreakBefore w:val="0"/>
              <w:widowControl w:val="0"/>
              <w:kinsoku/>
              <w:wordWrap/>
              <w:overflowPunct/>
              <w:topLinePunct w:val="0"/>
              <w:autoSpaceDE/>
              <w:autoSpaceDN/>
              <w:bidi/>
              <w:adjustRightInd/>
              <w:snapToGrid/>
              <w:spacing w:line="580" w:lineRule="exact"/>
              <w:jc w:val="both"/>
              <w:textAlignment w:val="auto"/>
              <w:rPr>
                <w:rFonts w:hint="eastAsia" w:asciiTheme="minorEastAsia" w:hAnsiTheme="minorEastAsia" w:eastAsiaTheme="minorEastAsia" w:cstheme="minorEastAsia"/>
                <w:b w:val="0"/>
                <w:bCs w:val="0"/>
                <w:sz w:val="30"/>
                <w:szCs w:val="30"/>
                <w:vertAlign w:val="baseline"/>
                <w:lang w:val="en-US" w:eastAsia="zh-CN"/>
              </w:rPr>
            </w:pPr>
          </w:p>
        </w:tc>
        <w:tc>
          <w:tcPr>
            <w:tcW w:w="1861" w:type="dxa"/>
            <w:vAlign w:val="center"/>
          </w:tcPr>
          <w:p w14:paraId="19E39D2B">
            <w:pPr>
              <w:keepNext w:val="0"/>
              <w:keepLines w:val="0"/>
              <w:pageBreakBefore w:val="0"/>
              <w:widowControl w:val="0"/>
              <w:kinsoku/>
              <w:wordWrap/>
              <w:overflowPunct/>
              <w:topLinePunct w:val="0"/>
              <w:autoSpaceDE/>
              <w:autoSpaceDN/>
              <w:bidi/>
              <w:adjustRightInd/>
              <w:snapToGrid/>
              <w:spacing w:line="580" w:lineRule="exact"/>
              <w:jc w:val="both"/>
              <w:textAlignment w:val="auto"/>
              <w:rPr>
                <w:rFonts w:hint="eastAsia" w:asciiTheme="minorEastAsia" w:hAnsiTheme="minorEastAsia" w:eastAsiaTheme="minorEastAsia" w:cstheme="minorEastAsia"/>
                <w:b w:val="0"/>
                <w:bCs w:val="0"/>
                <w:sz w:val="30"/>
                <w:szCs w:val="30"/>
                <w:vertAlign w:val="baseline"/>
                <w:lang w:val="en-US" w:eastAsia="zh-CN"/>
              </w:rPr>
            </w:pPr>
          </w:p>
        </w:tc>
        <w:tc>
          <w:tcPr>
            <w:tcW w:w="1861" w:type="dxa"/>
            <w:vAlign w:val="center"/>
          </w:tcPr>
          <w:p w14:paraId="790EDA14">
            <w:pPr>
              <w:keepNext w:val="0"/>
              <w:keepLines w:val="0"/>
              <w:pageBreakBefore w:val="0"/>
              <w:widowControl w:val="0"/>
              <w:kinsoku/>
              <w:wordWrap/>
              <w:overflowPunct/>
              <w:topLinePunct w:val="0"/>
              <w:autoSpaceDE/>
              <w:autoSpaceDN/>
              <w:bidi/>
              <w:adjustRightInd/>
              <w:snapToGrid/>
              <w:spacing w:line="580" w:lineRule="exact"/>
              <w:jc w:val="both"/>
              <w:textAlignment w:val="auto"/>
              <w:rPr>
                <w:rFonts w:hint="eastAsia" w:asciiTheme="minorEastAsia" w:hAnsiTheme="minorEastAsia" w:eastAsiaTheme="minorEastAsia" w:cstheme="minorEastAsia"/>
                <w:b w:val="0"/>
                <w:bCs w:val="0"/>
                <w:sz w:val="30"/>
                <w:szCs w:val="30"/>
                <w:vertAlign w:val="baseline"/>
                <w:lang w:val="en-US" w:eastAsia="zh-CN"/>
              </w:rPr>
            </w:pPr>
          </w:p>
        </w:tc>
        <w:tc>
          <w:tcPr>
            <w:tcW w:w="1862" w:type="dxa"/>
            <w:vAlign w:val="center"/>
          </w:tcPr>
          <w:p w14:paraId="1F7D8A6A">
            <w:pPr>
              <w:keepNext w:val="0"/>
              <w:keepLines w:val="0"/>
              <w:pageBreakBefore w:val="0"/>
              <w:widowControl w:val="0"/>
              <w:kinsoku/>
              <w:wordWrap/>
              <w:overflowPunct/>
              <w:topLinePunct w:val="0"/>
              <w:autoSpaceDE/>
              <w:autoSpaceDN/>
              <w:bidi/>
              <w:adjustRightInd/>
              <w:snapToGrid/>
              <w:spacing w:line="580" w:lineRule="exact"/>
              <w:jc w:val="both"/>
              <w:textAlignment w:val="auto"/>
              <w:rPr>
                <w:rFonts w:hint="eastAsia" w:asciiTheme="minorEastAsia" w:hAnsiTheme="minorEastAsia" w:eastAsiaTheme="minorEastAsia" w:cstheme="minorEastAsia"/>
                <w:b w:val="0"/>
                <w:bCs w:val="0"/>
                <w:sz w:val="30"/>
                <w:szCs w:val="30"/>
                <w:vertAlign w:val="baseline"/>
                <w:lang w:val="en-US" w:eastAsia="zh-CN"/>
              </w:rPr>
            </w:pPr>
          </w:p>
        </w:tc>
        <w:tc>
          <w:tcPr>
            <w:tcW w:w="1862" w:type="dxa"/>
            <w:vAlign w:val="center"/>
          </w:tcPr>
          <w:p w14:paraId="32BB0E6C">
            <w:pPr>
              <w:keepNext w:val="0"/>
              <w:keepLines w:val="0"/>
              <w:pageBreakBefore w:val="0"/>
              <w:widowControl w:val="0"/>
              <w:kinsoku/>
              <w:wordWrap/>
              <w:overflowPunct/>
              <w:topLinePunct w:val="0"/>
              <w:autoSpaceDE/>
              <w:autoSpaceDN/>
              <w:bidi/>
              <w:adjustRightInd/>
              <w:snapToGrid/>
              <w:spacing w:line="580" w:lineRule="exact"/>
              <w:jc w:val="both"/>
              <w:textAlignment w:val="auto"/>
              <w:rPr>
                <w:rFonts w:hint="eastAsia" w:asciiTheme="minorEastAsia" w:hAnsiTheme="minorEastAsia" w:eastAsiaTheme="minorEastAsia" w:cstheme="minorEastAsia"/>
                <w:b w:val="0"/>
                <w:bCs w:val="0"/>
                <w:sz w:val="30"/>
                <w:szCs w:val="30"/>
                <w:vertAlign w:val="baseline"/>
                <w:lang w:val="en-US" w:eastAsia="zh-CN"/>
              </w:rPr>
            </w:pPr>
          </w:p>
        </w:tc>
      </w:tr>
      <w:tr w14:paraId="66202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1" w:type="dxa"/>
            <w:vAlign w:val="center"/>
          </w:tcPr>
          <w:p w14:paraId="2C54A2F2">
            <w:pPr>
              <w:keepNext w:val="0"/>
              <w:keepLines w:val="0"/>
              <w:pageBreakBefore w:val="0"/>
              <w:widowControl w:val="0"/>
              <w:kinsoku/>
              <w:wordWrap/>
              <w:overflowPunct/>
              <w:topLinePunct w:val="0"/>
              <w:autoSpaceDE/>
              <w:autoSpaceDN/>
              <w:bidi/>
              <w:adjustRightInd/>
              <w:snapToGrid/>
              <w:spacing w:line="580" w:lineRule="exact"/>
              <w:jc w:val="both"/>
              <w:textAlignment w:val="auto"/>
              <w:rPr>
                <w:rFonts w:hint="eastAsia" w:asciiTheme="minorEastAsia" w:hAnsiTheme="minorEastAsia" w:eastAsiaTheme="minorEastAsia" w:cstheme="minorEastAsia"/>
                <w:b w:val="0"/>
                <w:bCs w:val="0"/>
                <w:sz w:val="30"/>
                <w:szCs w:val="30"/>
                <w:vertAlign w:val="baseline"/>
                <w:lang w:val="en-US" w:eastAsia="zh-CN"/>
              </w:rPr>
            </w:pPr>
          </w:p>
        </w:tc>
        <w:tc>
          <w:tcPr>
            <w:tcW w:w="3722" w:type="dxa"/>
            <w:vAlign w:val="center"/>
          </w:tcPr>
          <w:p w14:paraId="14143233">
            <w:pPr>
              <w:keepNext w:val="0"/>
              <w:keepLines w:val="0"/>
              <w:pageBreakBefore w:val="0"/>
              <w:widowControl w:val="0"/>
              <w:kinsoku/>
              <w:wordWrap/>
              <w:overflowPunct/>
              <w:topLinePunct w:val="0"/>
              <w:autoSpaceDE/>
              <w:autoSpaceDN/>
              <w:bidi/>
              <w:adjustRightInd/>
              <w:snapToGrid/>
              <w:spacing w:line="580" w:lineRule="exact"/>
              <w:jc w:val="both"/>
              <w:textAlignment w:val="auto"/>
              <w:rPr>
                <w:rFonts w:hint="eastAsia" w:asciiTheme="minorEastAsia" w:hAnsiTheme="minorEastAsia" w:eastAsiaTheme="minorEastAsia" w:cstheme="minorEastAsia"/>
                <w:b w:val="0"/>
                <w:bCs w:val="0"/>
                <w:sz w:val="30"/>
                <w:szCs w:val="30"/>
                <w:vertAlign w:val="baseline"/>
                <w:lang w:val="en-US" w:eastAsia="zh-CN"/>
              </w:rPr>
            </w:pPr>
          </w:p>
        </w:tc>
        <w:tc>
          <w:tcPr>
            <w:tcW w:w="1861" w:type="dxa"/>
            <w:vAlign w:val="center"/>
          </w:tcPr>
          <w:p w14:paraId="3E39D87E">
            <w:pPr>
              <w:keepNext w:val="0"/>
              <w:keepLines w:val="0"/>
              <w:pageBreakBefore w:val="0"/>
              <w:widowControl w:val="0"/>
              <w:kinsoku/>
              <w:wordWrap/>
              <w:overflowPunct/>
              <w:topLinePunct w:val="0"/>
              <w:autoSpaceDE/>
              <w:autoSpaceDN/>
              <w:bidi/>
              <w:adjustRightInd/>
              <w:snapToGrid/>
              <w:spacing w:line="580" w:lineRule="exact"/>
              <w:jc w:val="both"/>
              <w:textAlignment w:val="auto"/>
              <w:rPr>
                <w:rFonts w:hint="eastAsia" w:asciiTheme="minorEastAsia" w:hAnsiTheme="minorEastAsia" w:eastAsiaTheme="minorEastAsia" w:cstheme="minorEastAsia"/>
                <w:b w:val="0"/>
                <w:bCs w:val="0"/>
                <w:sz w:val="30"/>
                <w:szCs w:val="30"/>
                <w:vertAlign w:val="baseline"/>
                <w:lang w:val="en-US" w:eastAsia="zh-CN"/>
              </w:rPr>
            </w:pPr>
          </w:p>
        </w:tc>
        <w:tc>
          <w:tcPr>
            <w:tcW w:w="1861" w:type="dxa"/>
            <w:vAlign w:val="center"/>
          </w:tcPr>
          <w:p w14:paraId="52F9CE6A">
            <w:pPr>
              <w:keepNext w:val="0"/>
              <w:keepLines w:val="0"/>
              <w:pageBreakBefore w:val="0"/>
              <w:widowControl w:val="0"/>
              <w:kinsoku/>
              <w:wordWrap/>
              <w:overflowPunct/>
              <w:topLinePunct w:val="0"/>
              <w:autoSpaceDE/>
              <w:autoSpaceDN/>
              <w:bidi/>
              <w:adjustRightInd/>
              <w:snapToGrid/>
              <w:spacing w:line="580" w:lineRule="exact"/>
              <w:jc w:val="both"/>
              <w:textAlignment w:val="auto"/>
              <w:rPr>
                <w:rFonts w:hint="eastAsia" w:asciiTheme="minorEastAsia" w:hAnsiTheme="minorEastAsia" w:eastAsiaTheme="minorEastAsia" w:cstheme="minorEastAsia"/>
                <w:b w:val="0"/>
                <w:bCs w:val="0"/>
                <w:sz w:val="30"/>
                <w:szCs w:val="30"/>
                <w:vertAlign w:val="baseline"/>
                <w:lang w:val="en-US" w:eastAsia="zh-CN"/>
              </w:rPr>
            </w:pPr>
          </w:p>
        </w:tc>
        <w:tc>
          <w:tcPr>
            <w:tcW w:w="1862" w:type="dxa"/>
            <w:vAlign w:val="center"/>
          </w:tcPr>
          <w:p w14:paraId="025225F7">
            <w:pPr>
              <w:keepNext w:val="0"/>
              <w:keepLines w:val="0"/>
              <w:pageBreakBefore w:val="0"/>
              <w:widowControl w:val="0"/>
              <w:kinsoku/>
              <w:wordWrap/>
              <w:overflowPunct/>
              <w:topLinePunct w:val="0"/>
              <w:autoSpaceDE/>
              <w:autoSpaceDN/>
              <w:bidi/>
              <w:adjustRightInd/>
              <w:snapToGrid/>
              <w:spacing w:line="580" w:lineRule="exact"/>
              <w:jc w:val="both"/>
              <w:textAlignment w:val="auto"/>
              <w:rPr>
                <w:rFonts w:hint="eastAsia" w:asciiTheme="minorEastAsia" w:hAnsiTheme="minorEastAsia" w:eastAsiaTheme="minorEastAsia" w:cstheme="minorEastAsia"/>
                <w:b w:val="0"/>
                <w:bCs w:val="0"/>
                <w:sz w:val="30"/>
                <w:szCs w:val="30"/>
                <w:vertAlign w:val="baseline"/>
                <w:lang w:val="en-US" w:eastAsia="zh-CN"/>
              </w:rPr>
            </w:pPr>
          </w:p>
        </w:tc>
        <w:tc>
          <w:tcPr>
            <w:tcW w:w="1862" w:type="dxa"/>
            <w:vAlign w:val="center"/>
          </w:tcPr>
          <w:p w14:paraId="75AFDD3E">
            <w:pPr>
              <w:keepNext w:val="0"/>
              <w:keepLines w:val="0"/>
              <w:pageBreakBefore w:val="0"/>
              <w:widowControl w:val="0"/>
              <w:kinsoku/>
              <w:wordWrap/>
              <w:overflowPunct/>
              <w:topLinePunct w:val="0"/>
              <w:autoSpaceDE/>
              <w:autoSpaceDN/>
              <w:bidi/>
              <w:adjustRightInd/>
              <w:snapToGrid/>
              <w:spacing w:line="580" w:lineRule="exact"/>
              <w:jc w:val="both"/>
              <w:textAlignment w:val="auto"/>
              <w:rPr>
                <w:rFonts w:hint="eastAsia" w:asciiTheme="minorEastAsia" w:hAnsiTheme="minorEastAsia" w:eastAsiaTheme="minorEastAsia" w:cstheme="minorEastAsia"/>
                <w:b w:val="0"/>
                <w:bCs w:val="0"/>
                <w:sz w:val="30"/>
                <w:szCs w:val="30"/>
                <w:vertAlign w:val="baseline"/>
                <w:lang w:val="en-US" w:eastAsia="zh-CN"/>
              </w:rPr>
            </w:pPr>
          </w:p>
        </w:tc>
      </w:tr>
    </w:tbl>
    <w:p w14:paraId="0AF04E61">
      <w:pPr>
        <w:keepNext w:val="0"/>
        <w:keepLines w:val="0"/>
        <w:pageBreakBefore w:val="0"/>
        <w:widowControl w:val="0"/>
        <w:kinsoku/>
        <w:wordWrap/>
        <w:overflowPunct/>
        <w:topLinePunct w:val="0"/>
        <w:autoSpaceDE/>
        <w:autoSpaceDN/>
        <w:bidi/>
        <w:adjustRightInd/>
        <w:snapToGrid/>
        <w:spacing w:line="580" w:lineRule="exact"/>
        <w:ind w:left="0" w:leftChars="0" w:firstLine="0" w:firstLineChars="0"/>
        <w:jc w:val="both"/>
        <w:textAlignment w:val="auto"/>
        <w:rPr>
          <w:rFonts w:hint="eastAsia" w:ascii="方正小标宋简体" w:hAnsi="方正小标宋简体" w:eastAsia="方正小标宋简体" w:cs="方正小标宋简体"/>
          <w:b w:val="0"/>
          <w:bCs w:val="0"/>
          <w:sz w:val="30"/>
          <w:szCs w:val="30"/>
          <w:lang w:val="en-US" w:eastAsia="zh-CN"/>
        </w:rPr>
      </w:pPr>
    </w:p>
    <w:p w14:paraId="0A21FAF6">
      <w:pPr>
        <w:keepNext w:val="0"/>
        <w:keepLines w:val="0"/>
        <w:pageBreakBefore w:val="0"/>
        <w:widowControl w:val="0"/>
        <w:kinsoku/>
        <w:wordWrap/>
        <w:overflowPunct/>
        <w:topLinePunct w:val="0"/>
        <w:autoSpaceDE/>
        <w:autoSpaceDN/>
        <w:bidi/>
        <w:adjustRightInd/>
        <w:snapToGrid/>
        <w:spacing w:line="580" w:lineRule="exact"/>
        <w:ind w:left="0" w:leftChars="0" w:firstLine="0" w:firstLineChars="0"/>
        <w:jc w:val="center"/>
        <w:textAlignment w:val="auto"/>
        <w:rPr>
          <w:rFonts w:hint="default" w:ascii="方正小标宋简体" w:hAnsi="方正小标宋简体" w:eastAsia="方正小标宋简体" w:cs="方正小标宋简体"/>
          <w:b w:val="0"/>
          <w:bCs w:val="0"/>
          <w:sz w:val="30"/>
          <w:szCs w:val="30"/>
          <w:lang w:val="en-US" w:eastAsia="zh-CN"/>
        </w:rPr>
      </w:pPr>
    </w:p>
    <w:sectPr>
      <w:pgSz w:w="16838" w:h="11906" w:orient="landscape"/>
      <w:pgMar w:top="1587" w:right="2041" w:bottom="1587" w:left="1984" w:header="851" w:footer="992" w:gutter="0"/>
      <w:cols w:space="0" w:num="1"/>
      <w:rtlGutter w:val="0"/>
      <w:docGrid w:type="lines" w:linePitch="3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5D451F8-B526-4F51-AEFF-987E64D36F8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47107997-DAFB-4E22-8645-47E3EBAC4520}"/>
  </w:font>
  <w:font w:name="方正仿宋_GB2312">
    <w:panose1 w:val="02000000000000000000"/>
    <w:charset w:val="86"/>
    <w:family w:val="auto"/>
    <w:pitch w:val="default"/>
    <w:sig w:usb0="A00002BF" w:usb1="184F6CFA" w:usb2="00000012" w:usb3="00000000" w:csb0="00040001" w:csb1="00000000"/>
    <w:embedRegular r:id="rId3" w:fontKey="{5848F636-055D-4E53-A48C-725C46A8D181}"/>
  </w:font>
  <w:font w:name="仿宋_GB2312">
    <w:altName w:val="仿宋"/>
    <w:panose1 w:val="02010609030101010101"/>
    <w:charset w:val="86"/>
    <w:family w:val="auto"/>
    <w:pitch w:val="default"/>
    <w:sig w:usb0="00000000" w:usb1="00000000" w:usb2="00000000" w:usb3="00000000" w:csb0="00040000" w:csb1="00000000"/>
    <w:embedRegular r:id="rId4" w:fontKey="{B706D1A6-1A8B-4539-9AA2-F164460EA977}"/>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documentProtection w:enforcement="0"/>
  <w:defaultTabStop w:val="420"/>
  <w:drawingGridVerticalSpacing w:val="161"/>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7842C0"/>
    <w:rsid w:val="145F6AA5"/>
    <w:rsid w:val="1AF032A0"/>
    <w:rsid w:val="20476B5A"/>
    <w:rsid w:val="5C7842C0"/>
    <w:rsid w:val="78F223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1444</Words>
  <Characters>1503</Characters>
  <Lines>0</Lines>
  <Paragraphs>0</Paragraphs>
  <TotalTime>41</TotalTime>
  <ScaleCrop>false</ScaleCrop>
  <LinksUpToDate>false</LinksUpToDate>
  <CharactersWithSpaces>1518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2026-08-18T07:34:00Z</dcterms:created>
  <dc:creator>侯杰</dc:creator>
  <cp:lastModifiedBy>昊天</cp:lastModifiedBy>
  <dcterms:modified xsi:type="dcterms:W3CDTF">2026-08-18T09:22:46Z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768C3A85082A4F0195CFA87B630F2C95_13</vt:lpwstr>
  </property>
  <property fmtid="{D5CDD505-2E9C-101B-9397-08002B2CF9AE}" pid="4" name="KSOTemplateDocerSaveRecord">
    <vt:lpwstr>eyJoZGlkIjoiNWMzMzhhZTNlMjdlODFhOWEyYThkODAwN2JkODEzNDciLCJ1c2VySWQiOiI3NDY1MzM4NDUifQ==</vt:lpwstr>
  </property>
</Properties>
</file>