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keepNext w:val="0"/>
        <w:keepLines w:val="0"/>
        <w:pageBreakBefore w:val="0"/>
        <w:widowControl w:val="0"/>
        <w:kinsoku/>
        <w:wordWrap/>
        <w:overflowPunct/>
        <w:topLinePunct w:val="0"/>
        <w:autoSpaceDE w:val="0"/>
        <w:autoSpaceDN w:val="0"/>
        <w:bidi w:val="0"/>
        <w:adjustRightInd w:val="0"/>
        <w:snapToGrid/>
        <w:spacing w:line="600" w:lineRule="exact"/>
        <w:jc w:val="center"/>
        <w:textAlignment w:val="auto"/>
        <w:rPr>
          <w:rFonts w:hint="eastAsia" w:ascii="方正小标宋简体" w:hAnsi="方正小标宋简体" w:eastAsia="方正小标宋简体" w:cs="方正小标宋简体"/>
          <w:b w:val="0"/>
          <w:bCs w:val="0"/>
          <w:sz w:val="44"/>
          <w:szCs w:val="44"/>
        </w:rPr>
      </w:pPr>
    </w:p>
    <w:p>
      <w:pPr>
        <w:pStyle w:val="16"/>
        <w:keepNext w:val="0"/>
        <w:keepLines w:val="0"/>
        <w:pageBreakBefore w:val="0"/>
        <w:widowControl w:val="0"/>
        <w:kinsoku/>
        <w:wordWrap/>
        <w:overflowPunct/>
        <w:topLinePunct w:val="0"/>
        <w:autoSpaceDE w:val="0"/>
        <w:autoSpaceDN w:val="0"/>
        <w:bidi w:val="0"/>
        <w:adjustRightInd w:val="0"/>
        <w:snapToGrid/>
        <w:spacing w:line="6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关于</w:t>
      </w:r>
      <w:r>
        <w:rPr>
          <w:rFonts w:hint="eastAsia" w:ascii="方正小标宋简体" w:hAnsi="方正小标宋简体" w:eastAsia="方正小标宋简体" w:cs="方正小标宋简体"/>
          <w:b w:val="0"/>
          <w:bCs w:val="0"/>
          <w:sz w:val="44"/>
          <w:szCs w:val="44"/>
          <w:lang w:eastAsia="zh-CN"/>
        </w:rPr>
        <w:t>淮北市程蒋山水泥用石灰岩矿430万吨</w:t>
      </w:r>
      <w:r>
        <w:rPr>
          <w:rFonts w:hint="eastAsia" w:ascii="方正小标宋简体" w:hAnsi="方正小标宋简体" w:eastAsia="方正小标宋简体" w:cs="方正小标宋简体"/>
          <w:b w:val="0"/>
          <w:bCs w:val="0"/>
          <w:sz w:val="44"/>
          <w:szCs w:val="44"/>
          <w:lang w:val="en-US" w:eastAsia="zh-CN"/>
        </w:rPr>
        <w:t>/</w:t>
      </w:r>
      <w:r>
        <w:rPr>
          <w:rFonts w:hint="eastAsia" w:ascii="方正小标宋简体" w:hAnsi="方正小标宋简体" w:eastAsia="方正小标宋简体" w:cs="方正小标宋简体"/>
          <w:b w:val="0"/>
          <w:bCs w:val="0"/>
          <w:sz w:val="44"/>
          <w:szCs w:val="44"/>
          <w:lang w:eastAsia="zh-CN"/>
        </w:rPr>
        <w:t>年建设工程</w:t>
      </w:r>
      <w:r>
        <w:rPr>
          <w:rFonts w:hint="eastAsia" w:ascii="方正小标宋简体" w:hAnsi="方正小标宋简体" w:eastAsia="方正小标宋简体" w:cs="方正小标宋简体"/>
          <w:b w:val="0"/>
          <w:bCs w:val="0"/>
          <w:sz w:val="44"/>
          <w:szCs w:val="44"/>
        </w:rPr>
        <w:t>水土保持</w:t>
      </w:r>
      <w:r>
        <w:rPr>
          <w:rFonts w:hint="eastAsia" w:ascii="方正小标宋简体" w:hAnsi="方正小标宋简体" w:eastAsia="方正小标宋简体" w:cs="方正小标宋简体"/>
          <w:b w:val="0"/>
          <w:bCs w:val="0"/>
          <w:sz w:val="44"/>
          <w:szCs w:val="44"/>
          <w:lang w:val="en-US" w:eastAsia="zh-CN"/>
        </w:rPr>
        <w:t>现场指导</w:t>
      </w:r>
      <w:r>
        <w:rPr>
          <w:rFonts w:hint="eastAsia" w:ascii="方正小标宋简体" w:hAnsi="方正小标宋简体" w:eastAsia="方正小标宋简体" w:cs="方正小标宋简体"/>
          <w:b w:val="0"/>
          <w:bCs w:val="0"/>
          <w:sz w:val="44"/>
          <w:szCs w:val="44"/>
        </w:rPr>
        <w:t>的意见</w:t>
      </w:r>
    </w:p>
    <w:p>
      <w:pPr>
        <w:adjustRightInd w:val="0"/>
        <w:snapToGrid w:val="0"/>
        <w:spacing w:line="360" w:lineRule="auto"/>
        <w:rPr>
          <w:rFonts w:ascii="Times New Roman" w:hAnsi="Times New Roman" w:cs="Times New Roman"/>
          <w:sz w:val="28"/>
          <w:szCs w:val="28"/>
        </w:rPr>
      </w:pP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淮北矿业相山水泥有限责任公司</w:t>
      </w:r>
      <w:r>
        <w:rPr>
          <w:rFonts w:hint="eastAsia" w:ascii="仿宋_GB2312" w:hAnsi="仿宋_GB2312" w:eastAsia="仿宋_GB2312" w:cs="仿宋_GB2312"/>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为进一步强化生产建设项目水土保持事中事后监管，全面推进落实生产建设项目水土保持“三同时”制度，根据《中华人民共和国水土保持法》及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，2024年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日，我局委托技术服务单位对</w:t>
      </w:r>
      <w:r>
        <w:rPr>
          <w:rFonts w:hint="eastAsia" w:ascii="仿宋_GB2312" w:hAnsi="仿宋_GB2312" w:eastAsia="仿宋_GB2312" w:cs="仿宋_GB2312"/>
          <w:sz w:val="32"/>
          <w:szCs w:val="32"/>
          <w:lang w:val="en-US" w:eastAsia="zh-CN"/>
        </w:rPr>
        <w:t>北市程蒋山水泥用石灰岩矿430万吨每年建设工程</w:t>
      </w:r>
      <w:r>
        <w:rPr>
          <w:rFonts w:hint="eastAsia" w:ascii="仿宋_GB2312" w:hAnsi="仿宋_GB2312" w:eastAsia="仿宋_GB2312" w:cs="仿宋_GB2312"/>
          <w:sz w:val="32"/>
          <w:szCs w:val="32"/>
        </w:rPr>
        <w:t>开展了水土保持现场指导工作。指导组查看了工程建设现场，召开了座谈会，听取了建设单位水土保持工作情况汇报，形成指导工作意见如下：</w:t>
      </w:r>
    </w:p>
    <w:p>
      <w:pPr>
        <w:pStyle w:val="15"/>
        <w:keepNext w:val="0"/>
        <w:keepLines w:val="0"/>
        <w:pageBreakBefore w:val="0"/>
        <w:numPr>
          <w:ilvl w:val="0"/>
          <w:numId w:val="1"/>
        </w:numPr>
        <w:kinsoku/>
        <w:overflowPunct/>
        <w:topLinePunct w:val="0"/>
        <w:autoSpaceDE/>
        <w:autoSpaceDN/>
        <w:bidi w:val="0"/>
        <w:adjustRightInd w:val="0"/>
        <w:snapToGrid w:val="0"/>
        <w:spacing w:line="600" w:lineRule="exact"/>
        <w:ind w:firstLineChars="0"/>
        <w:textAlignment w:val="auto"/>
        <w:rPr>
          <w:rFonts w:ascii="宋体" w:hAnsi="宋体" w:eastAsia="宋体" w:cs="宋体"/>
          <w:b/>
          <w:bCs/>
          <w:sz w:val="32"/>
          <w:szCs w:val="32"/>
        </w:rPr>
      </w:pPr>
      <w:r>
        <w:rPr>
          <w:rFonts w:hint="eastAsia" w:ascii="宋体" w:hAnsi="宋体" w:eastAsia="宋体" w:cs="宋体"/>
          <w:b/>
          <w:bCs/>
          <w:sz w:val="32"/>
          <w:szCs w:val="32"/>
        </w:rPr>
        <w:t>基本情况</w:t>
      </w:r>
    </w:p>
    <w:p>
      <w:pPr>
        <w:keepNext w:val="0"/>
        <w:keepLines w:val="0"/>
        <w:pageBreakBefore w:val="0"/>
        <w:kinsoku/>
        <w:overflowPunct/>
        <w:topLinePunct w:val="0"/>
        <w:autoSpaceDE/>
        <w:autoSpaceDN/>
        <w:bidi w:val="0"/>
        <w:spacing w:beforeLines="0" w:afterLines="0"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安徽省淮北市程蒋山水泥用石灰岩矿430万吨/年建设工程项目位于安徽省淮北市杜集区朔里镇罗里村，项目由露天采场区、道路区及工业场地区三部分组成，主要建设露天采场、矿山道路、办公室、仓库、车辆维修车间等。工程于2022年1月开工建设，总投资17726.76万元，水土保持投资为126.86万元。截至现场检查时，项目</w:t>
      </w:r>
      <w:r>
        <w:rPr>
          <w:rFonts w:hint="eastAsia" w:ascii="仿宋_GB2312" w:hAnsi="仿宋_GB2312" w:eastAsia="仿宋_GB2312" w:cs="仿宋_GB2312"/>
          <w:sz w:val="32"/>
          <w:szCs w:val="32"/>
          <w:lang w:val="en-US" w:eastAsia="zh-CN"/>
        </w:rPr>
        <w:t>基建期基本完成。我</w:t>
      </w:r>
      <w:r>
        <w:rPr>
          <w:rFonts w:hint="eastAsia" w:ascii="仿宋_GB2312" w:hAnsi="仿宋_GB2312" w:eastAsia="仿宋_GB2312" w:cs="仿宋_GB2312"/>
          <w:sz w:val="32"/>
          <w:szCs w:val="32"/>
        </w:rPr>
        <w:t>局以淮水许可〔2019〕19号文</w:t>
      </w:r>
      <w:r>
        <w:rPr>
          <w:rFonts w:hint="eastAsia" w:ascii="仿宋_GB2312" w:hAnsi="仿宋_GB2312" w:eastAsia="仿宋_GB2312" w:cs="仿宋_GB2312"/>
          <w:sz w:val="32"/>
          <w:szCs w:val="32"/>
          <w:lang w:eastAsia="zh-CN"/>
        </w:rPr>
        <w:t>对本项目水土保持方案准予许可</w:t>
      </w:r>
      <w:r>
        <w:rPr>
          <w:rFonts w:hint="eastAsia" w:ascii="仿宋_GB2312" w:hAnsi="仿宋_GB2312" w:eastAsia="仿宋_GB2312" w:cs="仿宋_GB2312"/>
          <w:sz w:val="32"/>
          <w:szCs w:val="32"/>
        </w:rPr>
        <w:t>，明确了</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水土流失防治范围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目标、</w:t>
      </w:r>
      <w:r>
        <w:rPr>
          <w:rFonts w:hint="eastAsia" w:ascii="仿宋_GB2312" w:hAnsi="仿宋_GB2312" w:eastAsia="仿宋_GB2312" w:cs="仿宋_GB2312"/>
          <w:sz w:val="32"/>
          <w:szCs w:val="32"/>
          <w:lang w:eastAsia="zh-CN"/>
        </w:rPr>
        <w:t>措施等</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做好工程建设期间</w:t>
      </w:r>
      <w:r>
        <w:rPr>
          <w:rFonts w:hint="eastAsia" w:ascii="仿宋_GB2312" w:hAnsi="仿宋_GB2312" w:eastAsia="仿宋_GB2312" w:cs="仿宋_GB2312"/>
          <w:sz w:val="32"/>
          <w:szCs w:val="32"/>
        </w:rPr>
        <w:t>水土流失防治提供了依据。</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从</w:t>
      </w:r>
      <w:r>
        <w:rPr>
          <w:rFonts w:hint="eastAsia" w:ascii="仿宋_GB2312" w:hAnsi="仿宋_GB2312" w:eastAsia="仿宋_GB2312" w:cs="仿宋_GB2312"/>
          <w:sz w:val="32"/>
          <w:szCs w:val="32"/>
        </w:rPr>
        <w:t>本次指导情况看，建设单位</w:t>
      </w:r>
      <w:r>
        <w:rPr>
          <w:rFonts w:hint="eastAsia" w:ascii="仿宋_GB2312" w:hAnsi="仿宋_GB2312" w:eastAsia="仿宋_GB2312" w:cs="仿宋_GB2312"/>
          <w:sz w:val="32"/>
          <w:szCs w:val="32"/>
          <w:lang w:eastAsia="zh-CN"/>
        </w:rPr>
        <w:t>成立了组织管理机构，制定了管理制度，明确了各参建单位工作职责；委托开展了水土保持监测、监理工作；依法缴纳了水土保持补偿费</w:t>
      </w:r>
      <w:r>
        <w:rPr>
          <w:rFonts w:hint="eastAsia" w:ascii="仿宋_GB2312" w:hAnsi="仿宋_GB2312" w:eastAsia="仿宋_GB2312" w:cs="仿宋_GB2312"/>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Times New Roman" w:hAnsi="Times New Roman" w:eastAsia="黑体" w:cs="Times New Roman"/>
          <w:sz w:val="32"/>
          <w:szCs w:val="32"/>
          <w:lang w:eastAsia="zh-CN"/>
        </w:rPr>
      </w:pPr>
      <w:r>
        <w:rPr>
          <w:rFonts w:hint="eastAsia" w:ascii="Times New Roman" w:hAnsi="黑体" w:eastAsia="黑体" w:cs="Times New Roman"/>
          <w:sz w:val="32"/>
          <w:szCs w:val="32"/>
          <w:lang w:eastAsia="zh-CN"/>
        </w:rPr>
        <w:t>二、下一步工作要求</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按照批复的水土保持方案和后续设计要求，及时实施水土保持工程、植物和临时措施，把“预防为主、保护优先”贯穿项目建设管理全过程。</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严格按照《水利部办公厅关于进一步加强生产建设项目水土保持监测工作的通知》(办水保〔2020〕161号)和《生产建设项目水土保持监测规程(试行)》(办水保〔2015〕139号)要求，督促水土保持监测单位进一步加强水土保持监测工作，于每季度第一个月月底前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报送上一季度季报。</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做好该项目建设期间水土保持档案资料的收集、整理和分类建档工作，为项目后续水土保持自主验收提供支撑。</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按照《水利部关于加强事中事后监管规范生产建设项目水土保持设施自主验收的通知》(水保〔2017〕365号)要求，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投产运行或竣工验收前完成水土保持设施自主验收并向我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报备。</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联系人：营军             葛晓鸣</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联系电话：3192083       15656999536</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邮箱：hbsbs2083@126.com</w:t>
      </w:r>
    </w:p>
    <w:p>
      <w:pPr>
        <w:keepNext w:val="0"/>
        <w:keepLines w:val="0"/>
        <w:pageBreakBefore w:val="0"/>
        <w:kinsoku/>
        <w:wordWrap w:val="0"/>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bookmarkStart w:id="0" w:name="_GoBack"/>
      <w:bookmarkEnd w:id="0"/>
    </w:p>
    <w:p>
      <w:pPr>
        <w:keepNext w:val="0"/>
        <w:keepLines w:val="0"/>
        <w:pageBreakBefore w:val="0"/>
        <w:kinsoku/>
        <w:wordWrap w:val="0"/>
        <w:overflowPunct/>
        <w:topLinePunct w:val="0"/>
        <w:autoSpaceDE/>
        <w:autoSpaceDN/>
        <w:bidi w:val="0"/>
        <w:adjustRightInd w:val="0"/>
        <w:snapToGrid w:val="0"/>
        <w:spacing w:line="600" w:lineRule="exact"/>
        <w:ind w:firstLine="5120" w:firstLineChars="1600"/>
        <w:textAlignment w:val="auto"/>
        <w:rPr>
          <w:rFonts w:hint="eastAsia" w:ascii="仿宋_GB2312" w:hAnsi="仿宋_GB2312" w:eastAsia="仿宋_GB2312" w:cs="仿宋_GB2312"/>
          <w:sz w:val="32"/>
          <w:szCs w:val="32"/>
        </w:rPr>
      </w:pPr>
    </w:p>
    <w:p>
      <w:pPr>
        <w:keepNext w:val="0"/>
        <w:keepLines w:val="0"/>
        <w:pageBreakBefore w:val="0"/>
        <w:kinsoku/>
        <w:wordWrap w:val="0"/>
        <w:overflowPunct/>
        <w:topLinePunct w:val="0"/>
        <w:autoSpaceDE/>
        <w:autoSpaceDN/>
        <w:bidi w:val="0"/>
        <w:adjustRightInd w:val="0"/>
        <w:snapToGrid w:val="0"/>
        <w:spacing w:line="600" w:lineRule="exact"/>
        <w:ind w:firstLine="5120" w:firstLineChars="1600"/>
        <w:textAlignment w:val="auto"/>
        <w:rPr>
          <w:rFonts w:hint="eastAsia" w:ascii="仿宋_GB2312" w:hAnsi="仿宋_GB2312" w:eastAsia="仿宋_GB2312" w:cs="仿宋_GB2312"/>
          <w:sz w:val="32"/>
          <w:szCs w:val="32"/>
        </w:rPr>
      </w:pPr>
    </w:p>
    <w:p>
      <w:pPr>
        <w:keepNext w:val="0"/>
        <w:keepLines w:val="0"/>
        <w:pageBreakBefore w:val="0"/>
        <w:kinsoku/>
        <w:wordWrap w:val="0"/>
        <w:overflowPunct/>
        <w:topLinePunct w:val="0"/>
        <w:autoSpaceDE/>
        <w:autoSpaceDN/>
        <w:bidi w:val="0"/>
        <w:adjustRightInd w:val="0"/>
        <w:snapToGrid w:val="0"/>
        <w:spacing w:line="600" w:lineRule="exact"/>
        <w:ind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w:t>
      </w:r>
    </w:p>
    <w:sectPr>
      <w:pgSz w:w="11906" w:h="16838"/>
      <w:pgMar w:top="1327" w:right="1463" w:bottom="1213" w:left="1576"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415AFB"/>
    <w:multiLevelType w:val="multilevel"/>
    <w:tmpl w:val="77415AFB"/>
    <w:lvl w:ilvl="0" w:tentative="0">
      <w:start w:val="1"/>
      <w:numFmt w:val="japaneseCounting"/>
      <w:lvlText w:val="%1、"/>
      <w:lvlJc w:val="left"/>
      <w:pPr>
        <w:ind w:left="1363" w:hanging="720"/>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yYWY1Y2EyNzVlZjA5M2E2YTA4YWJmMTY0ZDQyZTEifQ=="/>
  </w:docVars>
  <w:rsids>
    <w:rsidRoot w:val="00AC07B8"/>
    <w:rsid w:val="0000155D"/>
    <w:rsid w:val="00007837"/>
    <w:rsid w:val="00042D35"/>
    <w:rsid w:val="00056403"/>
    <w:rsid w:val="00061012"/>
    <w:rsid w:val="000D1307"/>
    <w:rsid w:val="000D2765"/>
    <w:rsid w:val="000E36AF"/>
    <w:rsid w:val="000F2908"/>
    <w:rsid w:val="001020C4"/>
    <w:rsid w:val="00143AA1"/>
    <w:rsid w:val="001455ED"/>
    <w:rsid w:val="00181A25"/>
    <w:rsid w:val="00192BCA"/>
    <w:rsid w:val="001B2686"/>
    <w:rsid w:val="001C0BAC"/>
    <w:rsid w:val="00206D35"/>
    <w:rsid w:val="00223208"/>
    <w:rsid w:val="002348D1"/>
    <w:rsid w:val="00235801"/>
    <w:rsid w:val="002433B7"/>
    <w:rsid w:val="002C0F4A"/>
    <w:rsid w:val="002C2721"/>
    <w:rsid w:val="0030088C"/>
    <w:rsid w:val="00303340"/>
    <w:rsid w:val="00365CFF"/>
    <w:rsid w:val="003877DE"/>
    <w:rsid w:val="00391F6D"/>
    <w:rsid w:val="003A2C8A"/>
    <w:rsid w:val="004139BC"/>
    <w:rsid w:val="004250A6"/>
    <w:rsid w:val="004350B9"/>
    <w:rsid w:val="00487AFA"/>
    <w:rsid w:val="00491252"/>
    <w:rsid w:val="004D6ACD"/>
    <w:rsid w:val="0053469E"/>
    <w:rsid w:val="0053686B"/>
    <w:rsid w:val="00550833"/>
    <w:rsid w:val="00552844"/>
    <w:rsid w:val="00562192"/>
    <w:rsid w:val="005C1FD9"/>
    <w:rsid w:val="005D7B80"/>
    <w:rsid w:val="005F2111"/>
    <w:rsid w:val="00665BF6"/>
    <w:rsid w:val="00667BFB"/>
    <w:rsid w:val="00720094"/>
    <w:rsid w:val="00743FE5"/>
    <w:rsid w:val="00761DB6"/>
    <w:rsid w:val="00764723"/>
    <w:rsid w:val="00795820"/>
    <w:rsid w:val="007B2252"/>
    <w:rsid w:val="007B2BDA"/>
    <w:rsid w:val="007C791E"/>
    <w:rsid w:val="0080083F"/>
    <w:rsid w:val="00802CE9"/>
    <w:rsid w:val="00815DE4"/>
    <w:rsid w:val="008219C1"/>
    <w:rsid w:val="00854200"/>
    <w:rsid w:val="0085579A"/>
    <w:rsid w:val="00860BE1"/>
    <w:rsid w:val="0087106A"/>
    <w:rsid w:val="008A5C50"/>
    <w:rsid w:val="008B2729"/>
    <w:rsid w:val="008B2ECD"/>
    <w:rsid w:val="008B6056"/>
    <w:rsid w:val="008C128B"/>
    <w:rsid w:val="008C3281"/>
    <w:rsid w:val="008D764F"/>
    <w:rsid w:val="009065E4"/>
    <w:rsid w:val="0093270A"/>
    <w:rsid w:val="0094461B"/>
    <w:rsid w:val="00957ACB"/>
    <w:rsid w:val="00963B46"/>
    <w:rsid w:val="009908EE"/>
    <w:rsid w:val="009E1F03"/>
    <w:rsid w:val="009F5B8D"/>
    <w:rsid w:val="00A133DF"/>
    <w:rsid w:val="00A14679"/>
    <w:rsid w:val="00A5709F"/>
    <w:rsid w:val="00A66853"/>
    <w:rsid w:val="00AB2873"/>
    <w:rsid w:val="00AB6929"/>
    <w:rsid w:val="00AC07B8"/>
    <w:rsid w:val="00AD6F58"/>
    <w:rsid w:val="00AF5C4C"/>
    <w:rsid w:val="00B255CA"/>
    <w:rsid w:val="00B45E6A"/>
    <w:rsid w:val="00B84493"/>
    <w:rsid w:val="00B8478E"/>
    <w:rsid w:val="00B84A00"/>
    <w:rsid w:val="00B90ECE"/>
    <w:rsid w:val="00BD1518"/>
    <w:rsid w:val="00C22150"/>
    <w:rsid w:val="00C55E93"/>
    <w:rsid w:val="00C64008"/>
    <w:rsid w:val="00C82CC4"/>
    <w:rsid w:val="00C91A3D"/>
    <w:rsid w:val="00C958B8"/>
    <w:rsid w:val="00CC0FD5"/>
    <w:rsid w:val="00D10A7B"/>
    <w:rsid w:val="00D353A2"/>
    <w:rsid w:val="00D40875"/>
    <w:rsid w:val="00D65B21"/>
    <w:rsid w:val="00D83C66"/>
    <w:rsid w:val="00DC206F"/>
    <w:rsid w:val="00DC74DF"/>
    <w:rsid w:val="00DE06DD"/>
    <w:rsid w:val="00DE620E"/>
    <w:rsid w:val="00DF37A1"/>
    <w:rsid w:val="00E1658B"/>
    <w:rsid w:val="00E3488D"/>
    <w:rsid w:val="00E93DA5"/>
    <w:rsid w:val="00E941D3"/>
    <w:rsid w:val="00ED26BE"/>
    <w:rsid w:val="00F00E78"/>
    <w:rsid w:val="00F07AC2"/>
    <w:rsid w:val="00F153F7"/>
    <w:rsid w:val="00F60995"/>
    <w:rsid w:val="00F72EC8"/>
    <w:rsid w:val="00F75BD3"/>
    <w:rsid w:val="00FC4D83"/>
    <w:rsid w:val="00FF08A0"/>
    <w:rsid w:val="00FF5BF3"/>
    <w:rsid w:val="05AF3B52"/>
    <w:rsid w:val="0CEE5747"/>
    <w:rsid w:val="0DA968B7"/>
    <w:rsid w:val="103D2C81"/>
    <w:rsid w:val="111C69D5"/>
    <w:rsid w:val="118F5CAF"/>
    <w:rsid w:val="134F2E80"/>
    <w:rsid w:val="14B33B02"/>
    <w:rsid w:val="15AD49DB"/>
    <w:rsid w:val="16983E87"/>
    <w:rsid w:val="189C2207"/>
    <w:rsid w:val="1E117345"/>
    <w:rsid w:val="1E135E67"/>
    <w:rsid w:val="1FAE29EB"/>
    <w:rsid w:val="20C119D8"/>
    <w:rsid w:val="21B96B04"/>
    <w:rsid w:val="21F2767D"/>
    <w:rsid w:val="23732B18"/>
    <w:rsid w:val="23EA286B"/>
    <w:rsid w:val="266E3CFB"/>
    <w:rsid w:val="28FB5791"/>
    <w:rsid w:val="29A2269D"/>
    <w:rsid w:val="29CC2DCE"/>
    <w:rsid w:val="305D3D1F"/>
    <w:rsid w:val="3A6A7521"/>
    <w:rsid w:val="3B912B31"/>
    <w:rsid w:val="3DDC7A09"/>
    <w:rsid w:val="3ECB69D0"/>
    <w:rsid w:val="419B53ED"/>
    <w:rsid w:val="49C6281F"/>
    <w:rsid w:val="4B421B83"/>
    <w:rsid w:val="4B583D64"/>
    <w:rsid w:val="4D1A0EC1"/>
    <w:rsid w:val="4F4A05C2"/>
    <w:rsid w:val="552F0B14"/>
    <w:rsid w:val="5691637D"/>
    <w:rsid w:val="58407BB5"/>
    <w:rsid w:val="584577B2"/>
    <w:rsid w:val="587770C2"/>
    <w:rsid w:val="58EF5E5C"/>
    <w:rsid w:val="5A237E76"/>
    <w:rsid w:val="5BD54DA7"/>
    <w:rsid w:val="5EAA458C"/>
    <w:rsid w:val="60EB27AA"/>
    <w:rsid w:val="635E0838"/>
    <w:rsid w:val="66935BAE"/>
    <w:rsid w:val="683300CC"/>
    <w:rsid w:val="69613382"/>
    <w:rsid w:val="6C2228DB"/>
    <w:rsid w:val="6CDA5D71"/>
    <w:rsid w:val="6CF36AD7"/>
    <w:rsid w:val="6D5A3D43"/>
    <w:rsid w:val="701614C9"/>
    <w:rsid w:val="707A06D2"/>
    <w:rsid w:val="71245771"/>
    <w:rsid w:val="74340889"/>
    <w:rsid w:val="76B94D3D"/>
    <w:rsid w:val="76C70B1A"/>
    <w:rsid w:val="7C4F64FB"/>
    <w:rsid w:val="7C987D65"/>
    <w:rsid w:val="7CA22B51"/>
    <w:rsid w:val="7F2F32A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eastAsia="宋体"/>
      <w:sz w:val="18"/>
      <w:szCs w:val="18"/>
    </w:rPr>
  </w:style>
  <w:style w:type="paragraph" w:styleId="3">
    <w:name w:val="Balloon Text"/>
    <w:basedOn w:val="1"/>
    <w:link w:val="14"/>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Char"/>
    <w:basedOn w:val="9"/>
    <w:link w:val="5"/>
    <w:autoRedefine/>
    <w:semiHidden/>
    <w:qFormat/>
    <w:uiPriority w:val="99"/>
    <w:rPr>
      <w:sz w:val="18"/>
      <w:szCs w:val="18"/>
    </w:rPr>
  </w:style>
  <w:style w:type="character" w:customStyle="1" w:styleId="11">
    <w:name w:val="页脚 Char"/>
    <w:basedOn w:val="9"/>
    <w:link w:val="4"/>
    <w:autoRedefine/>
    <w:semiHidden/>
    <w:qFormat/>
    <w:uiPriority w:val="99"/>
    <w:rPr>
      <w:sz w:val="18"/>
      <w:szCs w:val="18"/>
    </w:rPr>
  </w:style>
  <w:style w:type="character" w:customStyle="1" w:styleId="12">
    <w:name w:val="标题 Char"/>
    <w:basedOn w:val="9"/>
    <w:link w:val="7"/>
    <w:autoRedefine/>
    <w:qFormat/>
    <w:uiPriority w:val="10"/>
    <w:rPr>
      <w:rFonts w:eastAsia="宋体" w:asciiTheme="majorHAnsi" w:hAnsiTheme="majorHAnsi" w:cstheme="majorBidi"/>
      <w:b/>
      <w:bCs/>
      <w:sz w:val="32"/>
      <w:szCs w:val="32"/>
    </w:rPr>
  </w:style>
  <w:style w:type="character" w:customStyle="1" w:styleId="13">
    <w:name w:val="文档结构图 Char"/>
    <w:basedOn w:val="9"/>
    <w:link w:val="2"/>
    <w:autoRedefine/>
    <w:semiHidden/>
    <w:qFormat/>
    <w:uiPriority w:val="99"/>
    <w:rPr>
      <w:rFonts w:ascii="宋体" w:eastAsia="宋体"/>
      <w:kern w:val="2"/>
      <w:sz w:val="18"/>
      <w:szCs w:val="18"/>
    </w:rPr>
  </w:style>
  <w:style w:type="character" w:customStyle="1" w:styleId="14">
    <w:name w:val="批注框文本 Char"/>
    <w:basedOn w:val="9"/>
    <w:link w:val="3"/>
    <w:autoRedefine/>
    <w:semiHidden/>
    <w:qFormat/>
    <w:uiPriority w:val="99"/>
    <w:rPr>
      <w:rFonts w:asciiTheme="minorHAnsi" w:hAnsiTheme="minorHAnsi" w:eastAsiaTheme="minorEastAsia" w:cstheme="minorBidi"/>
      <w:kern w:val="2"/>
      <w:sz w:val="18"/>
      <w:szCs w:val="18"/>
    </w:rPr>
  </w:style>
  <w:style w:type="paragraph" w:styleId="15">
    <w:name w:val="List Paragraph"/>
    <w:basedOn w:val="1"/>
    <w:autoRedefine/>
    <w:unhideWhenUsed/>
    <w:qFormat/>
    <w:uiPriority w:val="99"/>
    <w:pPr>
      <w:ind w:firstLine="420" w:firstLineChars="200"/>
    </w:pPr>
  </w:style>
  <w:style w:type="paragraph" w:customStyle="1" w:styleId="16">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1077</Words>
  <Characters>1148</Characters>
  <Lines>9</Lines>
  <Paragraphs>2</Paragraphs>
  <TotalTime>2</TotalTime>
  <ScaleCrop>false</ScaleCrop>
  <LinksUpToDate>false</LinksUpToDate>
  <CharactersWithSpaces>1149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2024-06-17T01:36:22Z</cp:lastPrinted>
  <dcterms:modified xsi:type="dcterms:W3CDTF">2024-06-17T01:36:25Z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B26D035DF72E429A9FF9D884A266990B</vt:lpwstr>
  </property>
</Properties>
</file>