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lang w:val="en-US" w:eastAsia="zh-CN"/>
        </w:rPr>
      </w:pP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关于淮北市城乡供水一体化地表水源工程</w:t>
      </w: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水土保持</w:t>
      </w:r>
      <w:r>
        <w:rPr>
          <w:rFonts w:hint="default" w:ascii="Times New Roman" w:hAnsi="Times New Roman" w:eastAsia="方正小标宋简体" w:cs="Times New Roman"/>
          <w:b w:val="0"/>
          <w:bCs w:val="0"/>
          <w:sz w:val="44"/>
          <w:szCs w:val="44"/>
          <w:lang w:val="en-US" w:eastAsia="zh-CN"/>
        </w:rPr>
        <w:t>现场指导</w:t>
      </w:r>
      <w:r>
        <w:rPr>
          <w:rFonts w:hint="default" w:ascii="Times New Roman" w:hAnsi="Times New Roman" w:eastAsia="方正小标宋简体" w:cs="Times New Roman"/>
          <w:b w:val="0"/>
          <w:bCs w:val="0"/>
          <w:sz w:val="44"/>
          <w:szCs w:val="44"/>
        </w:rPr>
        <w:t>的意见</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Times New Roman" w:hAnsi="Times New Roman" w:cs="Times New Roman"/>
          <w:sz w:val="44"/>
          <w:szCs w:val="44"/>
        </w:rPr>
      </w:pPr>
    </w:p>
    <w:p>
      <w:pPr>
        <w:keepNext w:val="0"/>
        <w:keepLines w:val="0"/>
        <w:pageBreakBefore w:val="0"/>
        <w:widowControl w:val="0"/>
        <w:kinsoku/>
        <w:overflowPunct/>
        <w:topLinePunct w:val="0"/>
        <w:autoSpaceDE/>
        <w:autoSpaceDN/>
        <w:bidi w:val="0"/>
        <w:adjustRightInd w:val="0"/>
        <w:snapToGrid w:val="0"/>
        <w:spacing w:line="6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淮北市康源地表水务有限责任公司：</w:t>
      </w:r>
    </w:p>
    <w:p>
      <w:pPr>
        <w:autoSpaceDE w:val="0"/>
        <w:autoSpaceDN w:val="0"/>
        <w:adjustRightInd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为进一步强化生产建设项目水土保持事中事后监管，全面推进落实生产建设项目水土保持“三同时”制度，根据《中华人民共和国水土保持法》及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，2024年5月</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日，我局委托技术服务单位对淮北市城乡供水一体化地表水源工程开展了水土保持现场指导工作。指导组查看了工程建设现场，召开了座谈会，听取了建设单位水土保持工作情况汇报，形成指导工作意见如下：</w:t>
      </w:r>
    </w:p>
    <w:p>
      <w:pPr>
        <w:pStyle w:val="15"/>
        <w:keepNext w:val="0"/>
        <w:keepLines w:val="0"/>
        <w:pageBreakBefore w:val="0"/>
        <w:widowControl w:val="0"/>
        <w:numPr>
          <w:ilvl w:val="0"/>
          <w:numId w:val="0"/>
        </w:numPr>
        <w:kinsoku/>
        <w:overflowPunct/>
        <w:topLinePunct w:val="0"/>
        <w:autoSpaceDE/>
        <w:autoSpaceDN/>
        <w:bidi w:val="0"/>
        <w:adjustRightInd w:val="0"/>
        <w:snapToGrid w:val="0"/>
        <w:spacing w:line="620" w:lineRule="exact"/>
        <w:ind w:left="643" w:leftChars="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基本情况</w:t>
      </w:r>
    </w:p>
    <w:p>
      <w:pPr>
        <w:keepNext w:val="0"/>
        <w:keepLines w:val="0"/>
        <w:pageBreakBefore w:val="0"/>
        <w:widowControl w:val="0"/>
        <w:kinsoku/>
        <w:overflowPunct/>
        <w:topLinePunct w:val="0"/>
        <w:autoSpaceDE/>
        <w:autoSpaceDN/>
        <w:bidi w:val="0"/>
        <w:adjustRightInd w:val="0"/>
        <w:snapToGrid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淮北市城乡供水一体化地表水源工程位于淮北市烈山区境内，属新建线型项目，供水保证率95%，设计输水流量7.30m³/s，工程建设内容包括：1）输水管线：新建取水口、加压泵站，加压泵站装机容量为2800kW，新建输水管线20.9km，包括输水箱涵0.7km，压力管道20.2km，管径DN2600；2）华家湖水库防渗工程；3）截污导流及小型建筑物工程。取（引）水、加压泵站、输水管道以及穿越山体、河渠、道路等主要建筑物为3 级。穿堤输水建筑物级别不应低于其所在堤防级别；穿越道路、铁路等交叉建筑物级别尚不低于其相应级别。</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本工程由管线工程、建筑物工程、水库防渗工程和截污导流及小型建筑物工程组成，工程于2022年12月开工建设，工程总投资150573.82万元，水土保持投资1070.23万元。截至现场</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时，项目华家湖防渗处理工程已完成</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输水管线工程已完成40%。我</w:t>
      </w:r>
      <w:r>
        <w:rPr>
          <w:rFonts w:hint="eastAsia" w:ascii="仿宋_GB2312" w:hAnsi="仿宋_GB2312" w:eastAsia="仿宋_GB2312" w:cs="仿宋_GB2312"/>
          <w:sz w:val="32"/>
          <w:szCs w:val="32"/>
        </w:rPr>
        <w:t>局以淮水许可〔2022〕40号文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keepNext w:val="0"/>
        <w:keepLines w:val="0"/>
        <w:pageBreakBefore w:val="0"/>
        <w:widowControl w:val="0"/>
        <w:kinsoku/>
        <w:overflowPunct/>
        <w:topLinePunct w:val="0"/>
        <w:autoSpaceDE/>
        <w:autoSpaceDN/>
        <w:bidi w:val="0"/>
        <w:adjustRightInd w:val="0"/>
        <w:snapToGrid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从</w:t>
      </w:r>
      <w:r>
        <w:rPr>
          <w:rFonts w:hint="eastAsia" w:ascii="仿宋_GB2312" w:hAnsi="仿宋_GB2312" w:eastAsia="仿宋_GB2312" w:cs="仿宋_GB2312"/>
          <w:sz w:val="32"/>
          <w:szCs w:val="32"/>
        </w:rPr>
        <w:t>本次指导情况看，建设单位</w:t>
      </w:r>
      <w:r>
        <w:rPr>
          <w:rFonts w:hint="eastAsia" w:ascii="仿宋_GB2312" w:hAnsi="仿宋_GB2312" w:eastAsia="仿宋_GB2312" w:cs="仿宋_GB2312"/>
          <w:sz w:val="32"/>
          <w:szCs w:val="32"/>
          <w:lang w:eastAsia="zh-CN"/>
        </w:rPr>
        <w:t>成立了组织管理机构，制定了管理制度，明确了各参建单位工作职责；委托开展了水土保持监测、监理工作</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w:t>
      </w:r>
      <w:r>
        <w:rPr>
          <w:rFonts w:ascii="Times New Roman" w:hAnsi="Times New Roman" w:eastAsia="仿宋_GB2312" w:cs="Times New Roman"/>
          <w:sz w:val="32"/>
          <w:szCs w:val="32"/>
        </w:rPr>
        <w:t>一是未按时提交水土保持监测季报；二是</w:t>
      </w:r>
      <w:r>
        <w:rPr>
          <w:rFonts w:hint="default" w:ascii="Times New Roman" w:hAnsi="Times New Roman" w:eastAsia="仿宋_GB2312" w:cs="Times New Roman"/>
          <w:sz w:val="32"/>
          <w:szCs w:val="32"/>
        </w:rPr>
        <w:t>未依法缴纳水土保持补偿费</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三是</w:t>
      </w:r>
      <w:r>
        <w:rPr>
          <w:rFonts w:hint="default" w:ascii="Times New Roman" w:hAnsi="Times New Roman" w:eastAsia="仿宋_GB2312" w:cs="Times New Roman"/>
          <w:sz w:val="32"/>
          <w:szCs w:val="32"/>
          <w:lang w:val="en-US" w:eastAsia="zh-CN"/>
        </w:rPr>
        <w:t>部分临时堆土裸露</w:t>
      </w:r>
      <w:r>
        <w:rPr>
          <w:rFonts w:ascii="Times New Roman" w:hAnsi="Times New Roman" w:eastAsia="仿宋_GB2312" w:cs="Times New Roman"/>
          <w:sz w:val="32"/>
          <w:szCs w:val="32"/>
        </w:rPr>
        <w:t>。</w:t>
      </w:r>
    </w:p>
    <w:p>
      <w:pPr>
        <w:pStyle w:val="15"/>
        <w:adjustRightInd w:val="0"/>
        <w:snapToGrid w:val="0"/>
        <w:spacing w:line="600" w:lineRule="exact"/>
        <w:ind w:left="643" w:firstLine="0" w:firstLineChars="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按照批复的水土保持方案及后续设计要求，向我局</w:t>
      </w:r>
      <w:r>
        <w:rPr>
          <w:rFonts w:hint="eastAsia" w:ascii="仿宋_GB2312" w:hAnsi="仿宋_GB2312" w:eastAsia="仿宋_GB2312" w:cs="仿宋_GB2312"/>
          <w:sz w:val="32"/>
          <w:szCs w:val="32"/>
          <w:lang w:eastAsia="zh-CN"/>
        </w:rPr>
        <w:t>补充</w:t>
      </w:r>
      <w:r>
        <w:rPr>
          <w:rFonts w:hint="eastAsia" w:ascii="仿宋_GB2312" w:hAnsi="仿宋_GB2312" w:eastAsia="仿宋_GB2312" w:cs="仿宋_GB2312"/>
          <w:sz w:val="32"/>
          <w:szCs w:val="32"/>
        </w:rPr>
        <w:t>提交</w:t>
      </w:r>
      <w:r>
        <w:rPr>
          <w:rFonts w:hint="eastAsia" w:ascii="仿宋_GB2312" w:hAnsi="仿宋_GB2312" w:eastAsia="仿宋_GB2312" w:cs="仿宋_GB2312"/>
          <w:sz w:val="32"/>
          <w:szCs w:val="32"/>
          <w:lang w:val="en-US" w:eastAsia="zh-CN"/>
        </w:rPr>
        <w:t>开工</w:t>
      </w:r>
      <w:r>
        <w:rPr>
          <w:rFonts w:hint="eastAsia" w:ascii="仿宋_GB2312" w:hAnsi="仿宋_GB2312" w:eastAsia="仿宋_GB2312" w:cs="仿宋_GB2312"/>
          <w:sz w:val="32"/>
          <w:szCs w:val="32"/>
          <w:lang w:eastAsia="zh-CN"/>
        </w:rPr>
        <w:t>至</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年第1季度</w:t>
      </w:r>
      <w:r>
        <w:rPr>
          <w:rFonts w:hint="eastAsia" w:ascii="仿宋_GB2312" w:hAnsi="仿宋_GB2312" w:eastAsia="仿宋_GB2312" w:cs="仿宋_GB2312"/>
          <w:sz w:val="32"/>
          <w:szCs w:val="32"/>
          <w:lang w:val="en-US" w:eastAsia="zh-CN"/>
        </w:rPr>
        <w:t>监测季报；</w:t>
      </w:r>
      <w:r>
        <w:rPr>
          <w:rFonts w:hint="eastAsia" w:ascii="仿宋_GB2312" w:hAnsi="仿宋_GB2312" w:eastAsia="仿宋_GB2312" w:cs="仿宋_GB2312"/>
          <w:sz w:val="32"/>
          <w:szCs w:val="32"/>
        </w:rPr>
        <w:t>尽快一次性足额缴纳水土保持补偿费173.54万元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完善临时堆土</w:t>
      </w:r>
      <w:r>
        <w:rPr>
          <w:rFonts w:hint="eastAsia" w:ascii="仿宋_GB2312" w:hAnsi="仿宋_GB2312" w:eastAsia="仿宋_GB2312" w:cs="仿宋_GB2312"/>
          <w:sz w:val="32"/>
          <w:szCs w:val="32"/>
        </w:rPr>
        <w:t>的临时防护措施。</w:t>
      </w:r>
    </w:p>
    <w:p>
      <w:pPr>
        <w:adjustRightInd w:val="0"/>
        <w:snapToGrid w:val="0"/>
        <w:spacing w:line="600" w:lineRule="exact"/>
        <w:ind w:firstLine="640" w:firstLineChars="200"/>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w:t>
      </w:r>
      <w:r>
        <w:rPr>
          <w:rFonts w:hint="eastAsia" w:ascii="Times New Roman" w:hAnsi="黑体" w:eastAsia="黑体" w:cs="Times New Roman"/>
          <w:sz w:val="32"/>
          <w:szCs w:val="32"/>
          <w:lang w:eastAsia="zh-CN"/>
        </w:rPr>
        <w:t>下一步工作要求</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按照批复的水土保持方案和后续设计要求，及时实施水土保持工程、植物和临时措施，把“预防为主、保护优先”贯穿项目建设管理全过程。</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报送上一季度季报。</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请于</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日前完成上述问题整改，并将整改落实情况报送我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烈山区</w:t>
      </w:r>
      <w:r>
        <w:rPr>
          <w:rFonts w:hint="eastAsia" w:ascii="仿宋_GB2312" w:hAnsi="仿宋_GB2312" w:eastAsia="仿宋_GB2312" w:cs="仿宋_GB2312"/>
          <w:sz w:val="32"/>
          <w:szCs w:val="32"/>
          <w:lang w:eastAsia="zh-CN"/>
        </w:rPr>
        <w:t>农业农村水利局</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联系人：营军             葛晓鸣</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联系电话：3192083       15656999536</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邮箱：hbsbs2083@126.com</w:t>
      </w:r>
      <w:bookmarkStart w:id="0" w:name="_GoBack"/>
      <w:bookmarkEnd w:id="0"/>
    </w:p>
    <w:p>
      <w:pPr>
        <w:keepNext w:val="0"/>
        <w:keepLines w:val="0"/>
        <w:pageBreakBefore w:val="0"/>
        <w:widowControl w:val="0"/>
        <w:kinsoku/>
        <w:wordWrap w:val="0"/>
        <w:overflowPunct/>
        <w:topLinePunct w:val="0"/>
        <w:autoSpaceDE/>
        <w:autoSpaceDN/>
        <w:bidi w:val="0"/>
        <w:adjustRightInd w:val="0"/>
        <w:snapToGrid w:val="0"/>
        <w:spacing w:line="62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62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val="0"/>
        <w:overflowPunct/>
        <w:topLinePunct w:val="0"/>
        <w:autoSpaceDE/>
        <w:autoSpaceDN/>
        <w:bidi w:val="0"/>
        <w:adjustRightInd w:val="0"/>
        <w:snapToGrid w:val="0"/>
        <w:spacing w:line="62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val="0"/>
        <w:overflowPunct/>
        <w:topLinePunct w:val="0"/>
        <w:autoSpaceDE/>
        <w:autoSpaceDN/>
        <w:bidi w:val="0"/>
        <w:adjustRightInd w:val="0"/>
        <w:snapToGrid w:val="0"/>
        <w:spacing w:line="620" w:lineRule="exact"/>
        <w:ind w:firstLine="4480" w:firstLineChars="1400"/>
        <w:textAlignment w:val="auto"/>
        <w:rPr>
          <w:rFonts w:hint="default"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yYWY1Y2EyNzVlZjA5M2E2YTA4YWJmMTY0ZDQyZTEifQ=="/>
  </w:docVars>
  <w:rsids>
    <w:rsidRoot w:val="00AC07B8"/>
    <w:rsid w:val="00007837"/>
    <w:rsid w:val="00042D35"/>
    <w:rsid w:val="00056403"/>
    <w:rsid w:val="00061012"/>
    <w:rsid w:val="000D1307"/>
    <w:rsid w:val="000E36AF"/>
    <w:rsid w:val="000F2908"/>
    <w:rsid w:val="001020C4"/>
    <w:rsid w:val="00143AA1"/>
    <w:rsid w:val="00186626"/>
    <w:rsid w:val="00192BCA"/>
    <w:rsid w:val="001B2686"/>
    <w:rsid w:val="001B4EAC"/>
    <w:rsid w:val="001C0BAC"/>
    <w:rsid w:val="00206D35"/>
    <w:rsid w:val="00223208"/>
    <w:rsid w:val="00235801"/>
    <w:rsid w:val="002433B7"/>
    <w:rsid w:val="002C0F4A"/>
    <w:rsid w:val="002C2721"/>
    <w:rsid w:val="0030088C"/>
    <w:rsid w:val="00365CFF"/>
    <w:rsid w:val="003877DE"/>
    <w:rsid w:val="00391F6D"/>
    <w:rsid w:val="003A2C8A"/>
    <w:rsid w:val="004250A6"/>
    <w:rsid w:val="004350B9"/>
    <w:rsid w:val="00487AFA"/>
    <w:rsid w:val="00491252"/>
    <w:rsid w:val="004D6ACD"/>
    <w:rsid w:val="0053469E"/>
    <w:rsid w:val="0053686B"/>
    <w:rsid w:val="00552844"/>
    <w:rsid w:val="00562192"/>
    <w:rsid w:val="005C1FD9"/>
    <w:rsid w:val="005D7B80"/>
    <w:rsid w:val="005F2111"/>
    <w:rsid w:val="00665BF6"/>
    <w:rsid w:val="00667BFB"/>
    <w:rsid w:val="00761DB6"/>
    <w:rsid w:val="00764723"/>
    <w:rsid w:val="00795820"/>
    <w:rsid w:val="007B2252"/>
    <w:rsid w:val="007C791E"/>
    <w:rsid w:val="0080083F"/>
    <w:rsid w:val="00802CE9"/>
    <w:rsid w:val="00815DE4"/>
    <w:rsid w:val="00854200"/>
    <w:rsid w:val="0085579A"/>
    <w:rsid w:val="0087106A"/>
    <w:rsid w:val="008A5C50"/>
    <w:rsid w:val="008B2729"/>
    <w:rsid w:val="008B2ECD"/>
    <w:rsid w:val="008B6056"/>
    <w:rsid w:val="008C3281"/>
    <w:rsid w:val="008D764F"/>
    <w:rsid w:val="00904817"/>
    <w:rsid w:val="009065E4"/>
    <w:rsid w:val="0094461B"/>
    <w:rsid w:val="00957ACB"/>
    <w:rsid w:val="009908EE"/>
    <w:rsid w:val="009E1F03"/>
    <w:rsid w:val="009F5B8D"/>
    <w:rsid w:val="00A133DF"/>
    <w:rsid w:val="00A14679"/>
    <w:rsid w:val="00A5709F"/>
    <w:rsid w:val="00A66853"/>
    <w:rsid w:val="00A7048B"/>
    <w:rsid w:val="00AB6929"/>
    <w:rsid w:val="00AC07B8"/>
    <w:rsid w:val="00AD6F58"/>
    <w:rsid w:val="00B255CA"/>
    <w:rsid w:val="00B45E6A"/>
    <w:rsid w:val="00B84493"/>
    <w:rsid w:val="00B8478E"/>
    <w:rsid w:val="00B90ECE"/>
    <w:rsid w:val="00BD1518"/>
    <w:rsid w:val="00C22150"/>
    <w:rsid w:val="00C55E93"/>
    <w:rsid w:val="00C64008"/>
    <w:rsid w:val="00C82CC4"/>
    <w:rsid w:val="00C91A3D"/>
    <w:rsid w:val="00C958B8"/>
    <w:rsid w:val="00CC0FD5"/>
    <w:rsid w:val="00D10A7B"/>
    <w:rsid w:val="00D167BB"/>
    <w:rsid w:val="00D353A2"/>
    <w:rsid w:val="00D40875"/>
    <w:rsid w:val="00D65B21"/>
    <w:rsid w:val="00D83C66"/>
    <w:rsid w:val="00DC74DF"/>
    <w:rsid w:val="00DE06DD"/>
    <w:rsid w:val="00DE620E"/>
    <w:rsid w:val="00DF37A1"/>
    <w:rsid w:val="00E3488D"/>
    <w:rsid w:val="00E93DA5"/>
    <w:rsid w:val="00E941D3"/>
    <w:rsid w:val="00EB0954"/>
    <w:rsid w:val="00ED26BE"/>
    <w:rsid w:val="00F00E78"/>
    <w:rsid w:val="00F07AC2"/>
    <w:rsid w:val="00F153F7"/>
    <w:rsid w:val="00F37313"/>
    <w:rsid w:val="00F72EC8"/>
    <w:rsid w:val="00F75BD3"/>
    <w:rsid w:val="00FC4D83"/>
    <w:rsid w:val="00FE7A94"/>
    <w:rsid w:val="00FF08A0"/>
    <w:rsid w:val="00FF5BF3"/>
    <w:rsid w:val="03784F2C"/>
    <w:rsid w:val="05515D84"/>
    <w:rsid w:val="0DA968B7"/>
    <w:rsid w:val="103D2C81"/>
    <w:rsid w:val="111C69D5"/>
    <w:rsid w:val="118F5CAF"/>
    <w:rsid w:val="12977DBC"/>
    <w:rsid w:val="12D10AE2"/>
    <w:rsid w:val="15AD49DB"/>
    <w:rsid w:val="16983E87"/>
    <w:rsid w:val="189C2207"/>
    <w:rsid w:val="1E135E67"/>
    <w:rsid w:val="1FAE29EB"/>
    <w:rsid w:val="20C119D8"/>
    <w:rsid w:val="21B96B04"/>
    <w:rsid w:val="23EA286B"/>
    <w:rsid w:val="28FB5791"/>
    <w:rsid w:val="29A2269D"/>
    <w:rsid w:val="2FCE32D6"/>
    <w:rsid w:val="305D3D1F"/>
    <w:rsid w:val="363029F4"/>
    <w:rsid w:val="37160E4C"/>
    <w:rsid w:val="3A6A7521"/>
    <w:rsid w:val="3B4009F1"/>
    <w:rsid w:val="3B912B31"/>
    <w:rsid w:val="3DDC7A09"/>
    <w:rsid w:val="3DE03BA2"/>
    <w:rsid w:val="3ECB69D0"/>
    <w:rsid w:val="419B53ED"/>
    <w:rsid w:val="49C6281F"/>
    <w:rsid w:val="4B583D64"/>
    <w:rsid w:val="4D1A0EC1"/>
    <w:rsid w:val="4F4A05C2"/>
    <w:rsid w:val="552F0B14"/>
    <w:rsid w:val="5691637D"/>
    <w:rsid w:val="58407BB5"/>
    <w:rsid w:val="584577B2"/>
    <w:rsid w:val="587770C2"/>
    <w:rsid w:val="58EF5E5C"/>
    <w:rsid w:val="59441031"/>
    <w:rsid w:val="5A237E76"/>
    <w:rsid w:val="5E55149A"/>
    <w:rsid w:val="5EAA458C"/>
    <w:rsid w:val="6071095D"/>
    <w:rsid w:val="635E0838"/>
    <w:rsid w:val="683300CC"/>
    <w:rsid w:val="692B427C"/>
    <w:rsid w:val="6C2228DB"/>
    <w:rsid w:val="71245771"/>
    <w:rsid w:val="732E5C04"/>
    <w:rsid w:val="76B94D3D"/>
    <w:rsid w:val="786E2F34"/>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3"/>
    <w:autoRedefine/>
    <w:semiHidden/>
    <w:unhideWhenUsed/>
    <w:qFormat/>
    <w:uiPriority w:val="99"/>
    <w:rPr>
      <w:rFonts w:ascii="宋体" w:eastAsia="宋体"/>
      <w:sz w:val="18"/>
      <w:szCs w:val="18"/>
    </w:rPr>
  </w:style>
  <w:style w:type="paragraph" w:styleId="3">
    <w:name w:val="Balloon Text"/>
    <w:basedOn w:val="1"/>
    <w:link w:val="14"/>
    <w:autoRedefine/>
    <w:semiHidden/>
    <w:unhideWhenUsed/>
    <w:qFormat/>
    <w:uiPriority w:val="99"/>
    <w:rPr>
      <w:sz w:val="18"/>
      <w:szCs w:val="18"/>
    </w:rPr>
  </w:style>
  <w:style w:type="paragraph" w:styleId="4">
    <w:name w:val="footer"/>
    <w:basedOn w:val="1"/>
    <w:link w:val="11"/>
    <w:autoRedefine/>
    <w:semiHidden/>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autoRedefine/>
    <w:semiHidden/>
    <w:qFormat/>
    <w:uiPriority w:val="99"/>
    <w:rPr>
      <w:sz w:val="18"/>
      <w:szCs w:val="18"/>
    </w:rPr>
  </w:style>
  <w:style w:type="character" w:customStyle="1" w:styleId="11">
    <w:name w:val="页脚 Char"/>
    <w:basedOn w:val="9"/>
    <w:link w:val="4"/>
    <w:autoRedefine/>
    <w:semiHidden/>
    <w:qFormat/>
    <w:uiPriority w:val="99"/>
    <w:rPr>
      <w:sz w:val="18"/>
      <w:szCs w:val="18"/>
    </w:rPr>
  </w:style>
  <w:style w:type="character" w:customStyle="1" w:styleId="12">
    <w:name w:val="标题 Char"/>
    <w:basedOn w:val="9"/>
    <w:link w:val="7"/>
    <w:autoRedefine/>
    <w:qFormat/>
    <w:uiPriority w:val="10"/>
    <w:rPr>
      <w:rFonts w:eastAsia="宋体" w:asciiTheme="majorHAnsi" w:hAnsiTheme="majorHAnsi" w:cstheme="majorBidi"/>
      <w:b/>
      <w:bCs/>
      <w:sz w:val="32"/>
      <w:szCs w:val="32"/>
    </w:rPr>
  </w:style>
  <w:style w:type="character" w:customStyle="1" w:styleId="13">
    <w:name w:val="文档结构图 Char"/>
    <w:basedOn w:val="9"/>
    <w:link w:val="2"/>
    <w:autoRedefine/>
    <w:semiHidden/>
    <w:qFormat/>
    <w:uiPriority w:val="99"/>
    <w:rPr>
      <w:rFonts w:ascii="宋体" w:eastAsia="宋体"/>
      <w:kern w:val="2"/>
      <w:sz w:val="18"/>
      <w:szCs w:val="18"/>
    </w:rPr>
  </w:style>
  <w:style w:type="character" w:customStyle="1" w:styleId="14">
    <w:name w:val="批注框文本 Char"/>
    <w:basedOn w:val="9"/>
    <w:link w:val="3"/>
    <w:autoRedefine/>
    <w:semiHidden/>
    <w:qFormat/>
    <w:uiPriority w:val="99"/>
    <w:rPr>
      <w:rFonts w:asciiTheme="minorHAnsi" w:hAnsiTheme="minorHAnsi" w:eastAsiaTheme="minorEastAsia" w:cstheme="minorBidi"/>
      <w:kern w:val="2"/>
      <w:sz w:val="18"/>
      <w:szCs w:val="18"/>
    </w:rPr>
  </w:style>
  <w:style w:type="paragraph" w:styleId="15">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1440</Words>
  <Characters>1559</Characters>
  <Lines>11</Lines>
  <Paragraphs>3</Paragraphs>
  <TotalTime>2</TotalTime>
  <ScaleCrop>false</ScaleCrop>
  <LinksUpToDate>false</LinksUpToDate>
  <CharactersWithSpaces>1572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2024-06-17T01:35:57Z</cp:lastPrinted>
  <dcterms:modified xsi:type="dcterms:W3CDTF">2024-06-17T01:36:00Z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E753C7293D85474C86E4BEDC78F1FA8B_13</vt:lpwstr>
  </property>
</Properties>
</file>