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rPr>
      </w:pPr>
    </w:p>
    <w:p>
      <w:pPr>
        <w:pStyle w:val="7"/>
        <w:keepNext w:val="0"/>
        <w:keepLines w:val="0"/>
        <w:pageBreakBefore w:val="0"/>
        <w:widowControl w:val="0"/>
        <w:kinsoku/>
        <w:wordWrap/>
        <w:overflowPunct/>
        <w:topLinePunct w:val="0"/>
        <w:autoSpaceDE/>
        <w:autoSpaceDN/>
        <w:bidi w:val="0"/>
        <w:adjustRightInd/>
        <w:snapToGrid/>
        <w:spacing w:before="0" w:after="0" w:line="600" w:lineRule="exact"/>
        <w:textAlignment w:val="auto"/>
        <w:rPr>
          <w:rFonts w:hint="eastAsia" w:ascii="方正小标宋简体" w:hAnsi="方正小标宋简体" w:eastAsia="方正小标宋简体" w:cs="方正小标宋简体"/>
          <w:b w:val="0"/>
          <w:bCs w:val="0"/>
          <w:spacing w:val="-20"/>
          <w:sz w:val="44"/>
          <w:szCs w:val="44"/>
        </w:rPr>
      </w:pPr>
      <w:r>
        <w:rPr>
          <w:rFonts w:hint="eastAsia" w:ascii="方正小标宋简体" w:hAnsi="方正小标宋简体" w:eastAsia="方正小标宋简体" w:cs="方正小标宋简体"/>
          <w:b w:val="0"/>
          <w:bCs w:val="0"/>
          <w:spacing w:val="-20"/>
          <w:sz w:val="44"/>
          <w:szCs w:val="44"/>
        </w:rPr>
        <w:t>关于人民西路工程水土保持</w:t>
      </w:r>
      <w:r>
        <w:rPr>
          <w:rFonts w:hint="eastAsia" w:ascii="方正小标宋简体" w:hAnsi="方正小标宋简体" w:eastAsia="方正小标宋简体" w:cs="方正小标宋简体"/>
          <w:b w:val="0"/>
          <w:bCs w:val="0"/>
          <w:spacing w:val="-20"/>
          <w:sz w:val="44"/>
          <w:szCs w:val="44"/>
          <w:lang w:val="en-US" w:eastAsia="zh-CN"/>
        </w:rPr>
        <w:t>现场指导</w:t>
      </w:r>
      <w:r>
        <w:rPr>
          <w:rFonts w:hint="eastAsia" w:ascii="方正小标宋简体" w:hAnsi="方正小标宋简体" w:eastAsia="方正小标宋简体" w:cs="方正小标宋简体"/>
          <w:b w:val="0"/>
          <w:bCs w:val="0"/>
          <w:spacing w:val="-20"/>
          <w:sz w:val="44"/>
          <w:szCs w:val="44"/>
        </w:rPr>
        <w:t>的意见</w:t>
      </w:r>
    </w:p>
    <w:p>
      <w:pPr>
        <w:keepNext w:val="0"/>
        <w:keepLines w:val="0"/>
        <w:pageBreakBefore w:val="0"/>
        <w:widowControl w:val="0"/>
        <w:kinsoku/>
        <w:wordWrap/>
        <w:overflowPunct/>
        <w:topLinePunct w:val="0"/>
        <w:bidi w:val="0"/>
        <w:adjustRightInd w:val="0"/>
        <w:snapToGrid w:val="0"/>
        <w:spacing w:line="600" w:lineRule="exact"/>
        <w:textAlignment w:val="auto"/>
        <w:rPr>
          <w:rFonts w:hint="eastAsia" w:ascii="方正小标宋简体" w:hAnsi="方正小标宋简体" w:eastAsia="方正小标宋简体" w:cs="方正小标宋简体"/>
          <w:sz w:val="32"/>
          <w:szCs w:val="32"/>
        </w:rPr>
      </w:pPr>
    </w:p>
    <w:p>
      <w:pPr>
        <w:keepNext w:val="0"/>
        <w:keepLines w:val="0"/>
        <w:pageBreakBefore w:val="0"/>
        <w:widowControl w:val="0"/>
        <w:kinsoku/>
        <w:wordWrap/>
        <w:overflowPunct/>
        <w:topLinePunct w:val="0"/>
        <w:bidi w:val="0"/>
        <w:adjustRightInd w:val="0"/>
        <w:snapToGrid w:val="0"/>
        <w:spacing w:line="58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淮北市相山区住房和城乡建设局：</w:t>
      </w:r>
    </w:p>
    <w:p>
      <w:pPr>
        <w:keepNext w:val="0"/>
        <w:keepLines w:val="0"/>
        <w:pageBreakBefore w:val="0"/>
        <w:widowControl w:val="0"/>
        <w:kinsoku/>
        <w:wordWrap/>
        <w:overflowPunct/>
        <w:topLinePunct w:val="0"/>
        <w:autoSpaceDE w:val="0"/>
        <w:autoSpaceDN w:val="0"/>
        <w:bidi w:val="0"/>
        <w:adjustRightInd w:val="0"/>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为进一步强化生产建设项目水土保持事中事后监管，全面推进落实生产建设项目水土保持“三同时”制度，根据《中华人民共和国水土保持法》及</w:t>
      </w:r>
      <w:r>
        <w:rPr>
          <w:rFonts w:hint="eastAsia" w:ascii="仿宋_GB2312" w:hAnsi="仿宋_GB2312" w:eastAsia="仿宋_GB2312" w:cs="仿宋_GB2312"/>
          <w:sz w:val="32"/>
          <w:szCs w:val="32"/>
          <w:lang w:eastAsia="zh-CN"/>
        </w:rPr>
        <w:t>省水利厅《关于开展</w:t>
      </w:r>
      <w:r>
        <w:rPr>
          <w:rFonts w:hint="eastAsia" w:ascii="仿宋_GB2312" w:hAnsi="仿宋_GB2312" w:eastAsia="仿宋_GB2312" w:cs="仿宋_GB2312"/>
          <w:sz w:val="32"/>
          <w:szCs w:val="32"/>
          <w:lang w:val="en-US" w:eastAsia="zh-CN"/>
        </w:rPr>
        <w:t>2024年度全省生产建设项目水土保持现场指导工作的通知</w:t>
      </w:r>
      <w:r>
        <w:rPr>
          <w:rFonts w:hint="eastAsia" w:ascii="仿宋_GB2312" w:hAnsi="仿宋_GB2312" w:eastAsia="仿宋_GB2312" w:cs="仿宋_GB2312"/>
          <w:sz w:val="32"/>
          <w:szCs w:val="32"/>
          <w:lang w:eastAsia="zh-CN"/>
        </w:rPr>
        <w:t>》的要求</w:t>
      </w:r>
      <w:r>
        <w:rPr>
          <w:rFonts w:hint="eastAsia" w:ascii="仿宋_GB2312" w:hAnsi="仿宋_GB2312" w:eastAsia="仿宋_GB2312" w:cs="仿宋_GB2312"/>
          <w:sz w:val="32"/>
          <w:szCs w:val="32"/>
        </w:rPr>
        <w:t>，2024年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日，我局委托技术服务单位对人民西路工程项目开展了水土保持现场指导工作。指导组查看了工程建设现场，召开了座谈会，听取了建设单位水土保持工作情况汇报，形成指导工作意见如下：</w:t>
      </w:r>
    </w:p>
    <w:p>
      <w:pPr>
        <w:pStyle w:val="15"/>
        <w:keepNext w:val="0"/>
        <w:keepLines w:val="0"/>
        <w:pageBreakBefore w:val="0"/>
        <w:widowControl w:val="0"/>
        <w:numPr>
          <w:ilvl w:val="0"/>
          <w:numId w:val="0"/>
        </w:numPr>
        <w:kinsoku/>
        <w:overflowPunct/>
        <w:topLinePunct w:val="0"/>
        <w:bidi w:val="0"/>
        <w:adjustRightInd w:val="0"/>
        <w:snapToGrid w:val="0"/>
        <w:spacing w:line="580" w:lineRule="exact"/>
        <w:ind w:left="643" w:leftChars="0"/>
        <w:textAlignment w:val="auto"/>
        <w:rPr>
          <w:rFonts w:hint="eastAsia" w:ascii="黑体" w:hAnsi="黑体" w:eastAsia="黑体" w:cs="黑体"/>
          <w:b w:val="0"/>
          <w:bCs w:val="0"/>
          <w:sz w:val="32"/>
          <w:szCs w:val="32"/>
        </w:rPr>
      </w:pPr>
      <w:r>
        <w:rPr>
          <w:rFonts w:hint="eastAsia" w:ascii="黑体" w:hAnsi="黑体" w:eastAsia="黑体" w:cs="黑体"/>
          <w:b w:val="0"/>
          <w:bCs w:val="0"/>
          <w:sz w:val="32"/>
          <w:szCs w:val="32"/>
          <w:lang w:eastAsia="zh-CN"/>
        </w:rPr>
        <w:t>一、</w:t>
      </w:r>
      <w:r>
        <w:rPr>
          <w:rFonts w:hint="eastAsia" w:ascii="黑体" w:hAnsi="黑体" w:eastAsia="黑体" w:cs="黑体"/>
          <w:b w:val="0"/>
          <w:bCs w:val="0"/>
          <w:sz w:val="32"/>
          <w:szCs w:val="32"/>
        </w:rPr>
        <w:t>基本情况</w:t>
      </w:r>
    </w:p>
    <w:p>
      <w:pPr>
        <w:keepNext w:val="0"/>
        <w:keepLines w:val="0"/>
        <w:pageBreakBefore w:val="0"/>
        <w:widowControl w:val="0"/>
        <w:kinsoku/>
        <w:overflowPunct/>
        <w:topLinePunct w:val="0"/>
        <w:bidi w:val="0"/>
        <w:adjustRightInd w:val="0"/>
        <w:snapToGrid w:val="0"/>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人民西路工程工程位于淮北市西部，是一条东西走向的城市主干路</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道路西起西外环</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东至S202，与现状人民中路顺接。设计长度约4</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7km，断面采用双向六车道，规划道路红线宽60m，道路全线共设置桥梁3座</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分别为大庙沟桥、朱蒙沟桥、刘河桥。其中大庙沟河口宽度为</w:t>
      </w:r>
      <w:r>
        <w:rPr>
          <w:rFonts w:hint="eastAsia" w:ascii="仿宋_GB2312" w:hAnsi="仿宋_GB2312" w:eastAsia="仿宋_GB2312" w:cs="仿宋_GB2312"/>
          <w:sz w:val="32"/>
          <w:szCs w:val="32"/>
          <w:lang w:val="en-US" w:eastAsia="zh-CN"/>
        </w:rPr>
        <w:t>49</w:t>
      </w:r>
      <w:r>
        <w:rPr>
          <w:rFonts w:hint="eastAsia" w:ascii="仿宋_GB2312" w:hAnsi="仿宋_GB2312" w:eastAsia="仿宋_GB2312" w:cs="仿宋_GB2312"/>
          <w:sz w:val="32"/>
          <w:szCs w:val="32"/>
        </w:rPr>
        <w:t>米, 朱蒙沟河口宽度为30米，刘河河口宽度为23.5米。道路设计速度60km/h，建设内容包括道路工程、排水工程、桥梁工程</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交通工程、照明工程和绿化工程。工程于2020年3月开工，水土保持总投资为890.6万元。截至现场</w:t>
      </w:r>
      <w:r>
        <w:rPr>
          <w:rFonts w:hint="eastAsia" w:ascii="仿宋_GB2312" w:hAnsi="仿宋_GB2312" w:eastAsia="仿宋_GB2312" w:cs="仿宋_GB2312"/>
          <w:sz w:val="32"/>
          <w:szCs w:val="32"/>
          <w:lang w:eastAsia="zh-CN"/>
        </w:rPr>
        <w:t>指导</w:t>
      </w:r>
      <w:r>
        <w:rPr>
          <w:rFonts w:hint="eastAsia" w:ascii="仿宋_GB2312" w:hAnsi="仿宋_GB2312" w:eastAsia="仿宋_GB2312" w:cs="仿宋_GB2312"/>
          <w:sz w:val="32"/>
          <w:szCs w:val="32"/>
        </w:rPr>
        <w:t>时，项目</w:t>
      </w:r>
      <w:r>
        <w:rPr>
          <w:rFonts w:hint="eastAsia" w:ascii="仿宋_GB2312" w:hAnsi="仿宋_GB2312" w:eastAsia="仿宋_GB2312" w:cs="仿宋_GB2312"/>
          <w:sz w:val="32"/>
          <w:szCs w:val="32"/>
          <w:lang w:val="en-US" w:eastAsia="zh-CN"/>
        </w:rPr>
        <w:t>已</w:t>
      </w:r>
      <w:r>
        <w:rPr>
          <w:rFonts w:hint="eastAsia" w:ascii="仿宋_GB2312" w:hAnsi="仿宋_GB2312" w:eastAsia="仿宋_GB2312" w:cs="仿宋_GB2312"/>
          <w:sz w:val="32"/>
          <w:szCs w:val="32"/>
        </w:rPr>
        <w:t>完工</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我</w:t>
      </w:r>
      <w:r>
        <w:rPr>
          <w:rFonts w:hint="eastAsia" w:ascii="仿宋_GB2312" w:hAnsi="仿宋_GB2312" w:eastAsia="仿宋_GB2312" w:cs="仿宋_GB2312"/>
          <w:sz w:val="32"/>
          <w:szCs w:val="32"/>
        </w:rPr>
        <w:t>局以淮水许可〔2021〕14号文</w:t>
      </w:r>
      <w:r>
        <w:rPr>
          <w:rFonts w:hint="eastAsia" w:ascii="仿宋_GB2312" w:hAnsi="仿宋_GB2312" w:eastAsia="仿宋_GB2312" w:cs="仿宋_GB2312"/>
          <w:sz w:val="32"/>
          <w:szCs w:val="32"/>
          <w:lang w:eastAsia="zh-CN"/>
        </w:rPr>
        <w:t>对本项目水土保持方案准予许可</w:t>
      </w:r>
      <w:r>
        <w:rPr>
          <w:rFonts w:hint="eastAsia" w:ascii="仿宋_GB2312" w:hAnsi="仿宋_GB2312" w:eastAsia="仿宋_GB2312" w:cs="仿宋_GB2312"/>
          <w:sz w:val="32"/>
          <w:szCs w:val="32"/>
        </w:rPr>
        <w:t>，明确了</w:t>
      </w:r>
      <w:r>
        <w:rPr>
          <w:rFonts w:hint="eastAsia" w:ascii="仿宋_GB2312" w:hAnsi="仿宋_GB2312" w:eastAsia="仿宋_GB2312" w:cs="仿宋_GB2312"/>
          <w:sz w:val="32"/>
          <w:szCs w:val="32"/>
          <w:lang w:eastAsia="zh-CN"/>
        </w:rPr>
        <w:t>项目</w:t>
      </w:r>
      <w:r>
        <w:rPr>
          <w:rFonts w:hint="eastAsia" w:ascii="仿宋_GB2312" w:hAnsi="仿宋_GB2312" w:eastAsia="仿宋_GB2312" w:cs="仿宋_GB2312"/>
          <w:sz w:val="32"/>
          <w:szCs w:val="32"/>
        </w:rPr>
        <w:t>水土流失防治范围</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目标、</w:t>
      </w:r>
      <w:r>
        <w:rPr>
          <w:rFonts w:hint="eastAsia" w:ascii="仿宋_GB2312" w:hAnsi="仿宋_GB2312" w:eastAsia="仿宋_GB2312" w:cs="仿宋_GB2312"/>
          <w:sz w:val="32"/>
          <w:szCs w:val="32"/>
          <w:lang w:eastAsia="zh-CN"/>
        </w:rPr>
        <w:t>措施等</w:t>
      </w:r>
      <w:r>
        <w:rPr>
          <w:rFonts w:hint="eastAsia" w:ascii="仿宋_GB2312" w:hAnsi="仿宋_GB2312" w:eastAsia="仿宋_GB2312" w:cs="仿宋_GB2312"/>
          <w:sz w:val="32"/>
          <w:szCs w:val="32"/>
        </w:rPr>
        <w:t>，为</w:t>
      </w:r>
      <w:r>
        <w:rPr>
          <w:rFonts w:hint="eastAsia" w:ascii="仿宋_GB2312" w:hAnsi="仿宋_GB2312" w:eastAsia="仿宋_GB2312" w:cs="仿宋_GB2312"/>
          <w:sz w:val="32"/>
          <w:szCs w:val="32"/>
          <w:lang w:eastAsia="zh-CN"/>
        </w:rPr>
        <w:t>做好工程建设期间</w:t>
      </w:r>
      <w:r>
        <w:rPr>
          <w:rFonts w:hint="eastAsia" w:ascii="仿宋_GB2312" w:hAnsi="仿宋_GB2312" w:eastAsia="仿宋_GB2312" w:cs="仿宋_GB2312"/>
          <w:sz w:val="32"/>
          <w:szCs w:val="32"/>
        </w:rPr>
        <w:t>水土流失防治提供了依据。</w:t>
      </w:r>
    </w:p>
    <w:p>
      <w:pPr>
        <w:keepNext w:val="0"/>
        <w:keepLines w:val="0"/>
        <w:pageBreakBefore w:val="0"/>
        <w:widowControl w:val="0"/>
        <w:kinsoku/>
        <w:overflowPunct/>
        <w:topLinePunct w:val="0"/>
        <w:autoSpaceDE w:val="0"/>
        <w:autoSpaceDN w:val="0"/>
        <w:bidi w:val="0"/>
        <w:adjustRightInd w:val="0"/>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从</w:t>
      </w:r>
      <w:r>
        <w:rPr>
          <w:rFonts w:hint="eastAsia" w:ascii="仿宋_GB2312" w:hAnsi="仿宋_GB2312" w:eastAsia="仿宋_GB2312" w:cs="仿宋_GB2312"/>
          <w:sz w:val="32"/>
          <w:szCs w:val="32"/>
        </w:rPr>
        <w:t>本次指导情况看，建设单位</w:t>
      </w:r>
      <w:r>
        <w:rPr>
          <w:rFonts w:hint="eastAsia" w:ascii="仿宋_GB2312" w:hAnsi="仿宋_GB2312" w:eastAsia="仿宋_GB2312" w:cs="仿宋_GB2312"/>
          <w:sz w:val="32"/>
          <w:szCs w:val="32"/>
          <w:lang w:eastAsia="zh-CN"/>
        </w:rPr>
        <w:t>成立了组织管理机构，制定了管理制度，明确了各参建单位工作职责；委托开展了水土保持监测、监理工作</w:t>
      </w:r>
      <w:r>
        <w:rPr>
          <w:rFonts w:hint="eastAsia" w:ascii="仿宋_GB2312" w:hAnsi="仿宋_GB2312" w:eastAsia="仿宋_GB2312" w:cs="仿宋_GB2312"/>
          <w:sz w:val="32"/>
          <w:szCs w:val="32"/>
        </w:rPr>
        <w:t>。</w:t>
      </w:r>
    </w:p>
    <w:p>
      <w:pPr>
        <w:keepNext w:val="0"/>
        <w:keepLines w:val="0"/>
        <w:pageBreakBefore w:val="0"/>
        <w:widowControl w:val="0"/>
        <w:kinsoku/>
        <w:overflowPunct/>
        <w:topLinePunct w:val="0"/>
        <w:autoSpaceDE/>
        <w:autoSpaceDN/>
        <w:bidi w:val="0"/>
        <w:adjustRightInd w:val="0"/>
        <w:snapToGrid w:val="0"/>
        <w:spacing w:line="580" w:lineRule="exact"/>
        <w:ind w:firstLine="640" w:firstLineChars="200"/>
        <w:textAlignment w:val="auto"/>
        <w:rPr>
          <w:rFonts w:hint="default" w:ascii="Times New Roman" w:hAnsi="Times New Roman" w:eastAsia="黑体" w:cs="Times New Roman"/>
          <w:b w:val="0"/>
          <w:bCs w:val="0"/>
          <w:sz w:val="32"/>
          <w:szCs w:val="32"/>
        </w:rPr>
      </w:pPr>
      <w:r>
        <w:rPr>
          <w:rFonts w:hint="default" w:ascii="Times New Roman" w:hAnsi="Times New Roman" w:eastAsia="黑体" w:cs="Times New Roman"/>
          <w:b w:val="0"/>
          <w:bCs w:val="0"/>
          <w:sz w:val="32"/>
          <w:szCs w:val="32"/>
        </w:rPr>
        <w:t>二、</w:t>
      </w:r>
      <w:r>
        <w:rPr>
          <w:rFonts w:hint="eastAsia" w:ascii="Times New Roman" w:hAnsi="Times New Roman" w:eastAsia="黑体" w:cs="Times New Roman"/>
          <w:b w:val="0"/>
          <w:bCs w:val="0"/>
          <w:sz w:val="32"/>
          <w:szCs w:val="32"/>
          <w:lang w:val="en-US" w:eastAsia="zh-CN"/>
        </w:rPr>
        <w:t>主要</w:t>
      </w:r>
      <w:r>
        <w:rPr>
          <w:rFonts w:hint="default" w:ascii="Times New Roman" w:hAnsi="Times New Roman" w:eastAsia="黑体" w:cs="Times New Roman"/>
          <w:b w:val="0"/>
          <w:bCs w:val="0"/>
          <w:sz w:val="32"/>
          <w:szCs w:val="32"/>
        </w:rPr>
        <w:t>问题</w:t>
      </w:r>
    </w:p>
    <w:p>
      <w:pPr>
        <w:keepNext w:val="0"/>
        <w:keepLines w:val="0"/>
        <w:pageBreakBefore w:val="0"/>
        <w:widowControl w:val="0"/>
        <w:kinsoku/>
        <w:overflowPunct/>
        <w:topLinePunct w:val="0"/>
        <w:autoSpaceDE/>
        <w:autoSpaceDN/>
        <w:bidi w:val="0"/>
        <w:adjustRightInd w:val="0"/>
        <w:snapToGrid w:val="0"/>
        <w:spacing w:line="580" w:lineRule="exact"/>
        <w:ind w:firstLine="640" w:firstLineChars="200"/>
        <w:textAlignment w:val="auto"/>
        <w:rPr>
          <w:rFonts w:hint="default"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指导组采用无人机航拍和现场指导等方式开展指导工作，发现的问题一是未按时提交水土保持监测季报；二是未缴纳水土保持补偿费；</w:t>
      </w:r>
      <w:r>
        <w:rPr>
          <w:rFonts w:hint="eastAsia" w:ascii="Times New Roman" w:hAnsi="Times New Roman" w:eastAsia="仿宋_GB2312" w:cs="Times New Roman"/>
          <w:sz w:val="32"/>
          <w:szCs w:val="32"/>
          <w:lang w:val="en-US" w:eastAsia="zh-CN"/>
        </w:rPr>
        <w:t>三</w:t>
      </w:r>
      <w:r>
        <w:rPr>
          <w:rFonts w:hint="eastAsia" w:ascii="Times New Roman" w:hAnsi="Times New Roman" w:eastAsia="仿宋_GB2312" w:cs="Times New Roman"/>
          <w:sz w:val="32"/>
          <w:szCs w:val="32"/>
          <w:lang w:eastAsia="zh-CN"/>
        </w:rPr>
        <w:t>是</w:t>
      </w:r>
      <w:r>
        <w:rPr>
          <w:rFonts w:hint="default" w:ascii="Times New Roman" w:hAnsi="Times New Roman" w:eastAsia="仿宋_GB2312" w:cs="Times New Roman"/>
          <w:sz w:val="32"/>
          <w:szCs w:val="32"/>
          <w:lang w:eastAsia="zh-CN"/>
        </w:rPr>
        <w:t>未组织开展水土保持设施自主验收工作</w:t>
      </w:r>
      <w:r>
        <w:rPr>
          <w:rFonts w:hint="eastAsia" w:ascii="Times New Roman" w:hAnsi="Times New Roman" w:eastAsia="仿宋_GB2312" w:cs="Times New Roman"/>
          <w:sz w:val="32"/>
          <w:szCs w:val="32"/>
          <w:lang w:eastAsia="zh-CN"/>
        </w:rPr>
        <w:t>。</w:t>
      </w:r>
    </w:p>
    <w:p>
      <w:pPr>
        <w:pStyle w:val="15"/>
        <w:keepNext w:val="0"/>
        <w:keepLines w:val="0"/>
        <w:pageBreakBefore w:val="0"/>
        <w:widowControl w:val="0"/>
        <w:kinsoku/>
        <w:overflowPunct/>
        <w:topLinePunct w:val="0"/>
        <w:bidi w:val="0"/>
        <w:adjustRightInd w:val="0"/>
        <w:snapToGrid w:val="0"/>
        <w:spacing w:line="580" w:lineRule="exact"/>
        <w:ind w:left="643" w:firstLine="0" w:firstLineChars="0"/>
        <w:textAlignment w:val="auto"/>
        <w:rPr>
          <w:rFonts w:ascii="Times New Roman" w:hAnsi="Times New Roman" w:eastAsia="黑体" w:cs="Times New Roman"/>
          <w:sz w:val="32"/>
          <w:szCs w:val="32"/>
        </w:rPr>
      </w:pPr>
      <w:r>
        <w:rPr>
          <w:rFonts w:hint="eastAsia" w:ascii="Times New Roman" w:hAnsi="Times New Roman" w:eastAsia="黑体" w:cs="Times New Roman"/>
          <w:sz w:val="32"/>
          <w:szCs w:val="32"/>
        </w:rPr>
        <w:t>三</w:t>
      </w:r>
      <w:r>
        <w:rPr>
          <w:rFonts w:ascii="Times New Roman" w:hAnsi="Times New Roman" w:eastAsia="黑体" w:cs="Times New Roman"/>
          <w:sz w:val="32"/>
          <w:szCs w:val="32"/>
        </w:rPr>
        <w:t>、</w:t>
      </w:r>
      <w:r>
        <w:rPr>
          <w:rFonts w:hint="eastAsia" w:ascii="Times New Roman" w:hAnsi="Times New Roman" w:eastAsia="黑体" w:cs="Times New Roman"/>
          <w:sz w:val="32"/>
          <w:szCs w:val="32"/>
          <w:lang w:eastAsia="zh-CN"/>
        </w:rPr>
        <w:t>整改意见</w:t>
      </w:r>
    </w:p>
    <w:p>
      <w:pPr>
        <w:keepNext w:val="0"/>
        <w:keepLines w:val="0"/>
        <w:pageBreakBefore w:val="0"/>
        <w:widowControl w:val="0"/>
        <w:kinsoku/>
        <w:overflowPunct/>
        <w:topLinePunct w:val="0"/>
        <w:bidi w:val="0"/>
        <w:adjustRightInd w:val="0"/>
        <w:snapToGrid w:val="0"/>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按照批复的水土保持方案及后续设计要求，向我局</w:t>
      </w:r>
      <w:r>
        <w:rPr>
          <w:rFonts w:hint="eastAsia" w:ascii="仿宋_GB2312" w:hAnsi="仿宋_GB2312" w:eastAsia="仿宋_GB2312" w:cs="仿宋_GB2312"/>
          <w:sz w:val="32"/>
          <w:szCs w:val="32"/>
          <w:lang w:eastAsia="zh-CN"/>
        </w:rPr>
        <w:t>补充</w:t>
      </w:r>
      <w:r>
        <w:rPr>
          <w:rFonts w:hint="eastAsia" w:ascii="仿宋_GB2312" w:hAnsi="仿宋_GB2312" w:eastAsia="仿宋_GB2312" w:cs="仿宋_GB2312"/>
          <w:sz w:val="32"/>
          <w:szCs w:val="32"/>
        </w:rPr>
        <w:t>提交202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年第2季度</w:t>
      </w:r>
      <w:r>
        <w:rPr>
          <w:rFonts w:hint="eastAsia" w:ascii="仿宋_GB2312" w:hAnsi="仿宋_GB2312" w:eastAsia="仿宋_GB2312" w:cs="仿宋_GB2312"/>
          <w:sz w:val="32"/>
          <w:szCs w:val="32"/>
          <w:lang w:eastAsia="zh-CN"/>
        </w:rPr>
        <w:t>至</w:t>
      </w: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年第1季度</w:t>
      </w:r>
      <w:r>
        <w:rPr>
          <w:rFonts w:hint="eastAsia" w:ascii="仿宋_GB2312" w:hAnsi="仿宋_GB2312" w:eastAsia="仿宋_GB2312" w:cs="仿宋_GB2312"/>
          <w:sz w:val="32"/>
          <w:szCs w:val="32"/>
          <w:lang w:val="en-US" w:eastAsia="zh-CN"/>
        </w:rPr>
        <w:t>监测季报；</w:t>
      </w:r>
      <w:r>
        <w:rPr>
          <w:rFonts w:hint="eastAsia" w:ascii="仿宋_GB2312" w:hAnsi="仿宋_GB2312" w:eastAsia="仿宋_GB2312" w:cs="仿宋_GB2312"/>
          <w:sz w:val="32"/>
          <w:szCs w:val="32"/>
        </w:rPr>
        <w:t>尽快一次性足额缴纳水土保持补偿费</w:t>
      </w:r>
      <w:r>
        <w:rPr>
          <w:rFonts w:hint="eastAsia" w:ascii="仿宋_GB2312" w:hAnsi="仿宋_GB2312" w:eastAsia="仿宋_GB2312" w:cs="仿宋_GB2312"/>
          <w:color w:val="auto"/>
          <w:sz w:val="32"/>
          <w:szCs w:val="32"/>
        </w:rPr>
        <w:t>35.4</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尽快组织开展水土保持设施自主验收，并将验收材料按规定向我局报备。</w:t>
      </w:r>
    </w:p>
    <w:p>
      <w:pPr>
        <w:keepNext w:val="0"/>
        <w:keepLines w:val="0"/>
        <w:pageBreakBefore w:val="0"/>
        <w:widowControl w:val="0"/>
        <w:kinsoku/>
        <w:overflowPunct/>
        <w:topLinePunct w:val="0"/>
        <w:bidi w:val="0"/>
        <w:adjustRightInd w:val="0"/>
        <w:snapToGrid w:val="0"/>
        <w:spacing w:line="580" w:lineRule="exact"/>
        <w:ind w:firstLine="640" w:firstLineChars="200"/>
        <w:textAlignment w:val="auto"/>
        <w:rPr>
          <w:rFonts w:hint="default" w:ascii="Times New Roman" w:hAnsi="Times New Roman" w:eastAsia="黑体" w:cs="Times New Roman"/>
          <w:b w:val="0"/>
          <w:bCs w:val="0"/>
          <w:sz w:val="32"/>
          <w:szCs w:val="32"/>
        </w:rPr>
      </w:pPr>
      <w:r>
        <w:rPr>
          <w:rFonts w:hint="eastAsia" w:ascii="Times New Roman" w:hAnsi="Times New Roman" w:eastAsia="黑体" w:cs="Times New Roman"/>
          <w:b w:val="0"/>
          <w:bCs w:val="0"/>
          <w:sz w:val="32"/>
          <w:szCs w:val="32"/>
          <w:lang w:val="en-US" w:eastAsia="zh-CN"/>
        </w:rPr>
        <w:t>四</w:t>
      </w:r>
      <w:r>
        <w:rPr>
          <w:rFonts w:hint="default" w:ascii="Times New Roman" w:hAnsi="Times New Roman" w:eastAsia="黑体" w:cs="Times New Roman"/>
          <w:b w:val="0"/>
          <w:bCs w:val="0"/>
          <w:sz w:val="32"/>
          <w:szCs w:val="32"/>
        </w:rPr>
        <w:t>、</w:t>
      </w:r>
      <w:r>
        <w:rPr>
          <w:rFonts w:hint="eastAsia" w:ascii="Times New Roman" w:hAnsi="黑体" w:eastAsia="黑体" w:cs="Times New Roman"/>
          <w:sz w:val="32"/>
          <w:szCs w:val="32"/>
          <w:lang w:eastAsia="zh-CN"/>
        </w:rPr>
        <w:t>下一步工作要求</w:t>
      </w:r>
    </w:p>
    <w:p>
      <w:pPr>
        <w:keepNext w:val="0"/>
        <w:keepLines w:val="0"/>
        <w:pageBreakBefore w:val="0"/>
        <w:widowControl w:val="0"/>
        <w:kinsoku/>
        <w:overflowPunct/>
        <w:topLinePunct w:val="0"/>
        <w:bidi w:val="0"/>
        <w:adjustRightInd w:val="0"/>
        <w:snapToGrid w:val="0"/>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为确保该项目水土保持各项工作严格按照批复的水土保持方案要求落实，请你单位在建设过程中进一步加强对该项目水土保持工作的组织和领导，强化水土保持法律责任意识，落实水土流失防治主体责任，切实抓好以下工作:</w:t>
      </w:r>
    </w:p>
    <w:p>
      <w:pPr>
        <w:keepNext w:val="0"/>
        <w:keepLines w:val="0"/>
        <w:pageBreakBefore w:val="0"/>
        <w:widowControl w:val="0"/>
        <w:kinsoku/>
        <w:overflowPunct/>
        <w:topLinePunct w:val="0"/>
        <w:bidi w:val="0"/>
        <w:adjustRightInd w:val="0"/>
        <w:snapToGrid w:val="0"/>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（一）</w:t>
      </w:r>
      <w:r>
        <w:rPr>
          <w:rFonts w:hint="eastAsia" w:ascii="仿宋_GB2312" w:hAnsi="仿宋_GB2312" w:eastAsia="仿宋_GB2312" w:cs="仿宋_GB2312"/>
          <w:sz w:val="32"/>
          <w:szCs w:val="32"/>
        </w:rPr>
        <w:t>按照批复的水土保持方案和后续设计要求，及时实施水土保持工程、植物和临时措施，把“预防为主、保护优先”贯穿项目建设管理全过程。</w:t>
      </w:r>
    </w:p>
    <w:p>
      <w:pPr>
        <w:keepNext w:val="0"/>
        <w:keepLines w:val="0"/>
        <w:pageBreakBefore w:val="0"/>
        <w:widowControl w:val="0"/>
        <w:kinsoku/>
        <w:overflowPunct/>
        <w:topLinePunct w:val="0"/>
        <w:bidi w:val="0"/>
        <w:adjustRightInd w:val="0"/>
        <w:snapToGrid w:val="0"/>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（二）</w:t>
      </w:r>
      <w:r>
        <w:rPr>
          <w:rFonts w:hint="eastAsia" w:ascii="仿宋_GB2312" w:hAnsi="仿宋_GB2312" w:eastAsia="仿宋_GB2312" w:cs="仿宋_GB2312"/>
          <w:sz w:val="32"/>
          <w:szCs w:val="32"/>
        </w:rPr>
        <w:t>严格按照《水利部办公厅关于进一步加强生产建设项目水土保持监测工作的通知》(办水保〔2020〕161号)和《生产建设项目水土保持监测规程(试行)》(办水保〔2015〕139号)要求，督促水土保持监测单位进一步加强水土保持监测工作，于每季度第一个月月底前向我</w:t>
      </w:r>
      <w:r>
        <w:rPr>
          <w:rFonts w:hint="eastAsia" w:ascii="仿宋_GB2312" w:hAnsi="仿宋_GB2312" w:eastAsia="仿宋_GB2312" w:cs="仿宋_GB2312"/>
          <w:sz w:val="32"/>
          <w:szCs w:val="32"/>
          <w:lang w:eastAsia="zh-CN"/>
        </w:rPr>
        <w:t>局</w:t>
      </w:r>
      <w:r>
        <w:rPr>
          <w:rFonts w:hint="eastAsia" w:ascii="仿宋_GB2312" w:hAnsi="仿宋_GB2312" w:eastAsia="仿宋_GB2312" w:cs="仿宋_GB2312"/>
          <w:sz w:val="32"/>
          <w:szCs w:val="32"/>
        </w:rPr>
        <w:t>报送上一季度季报。</w:t>
      </w:r>
    </w:p>
    <w:p>
      <w:pPr>
        <w:keepNext w:val="0"/>
        <w:keepLines w:val="0"/>
        <w:pageBreakBefore w:val="0"/>
        <w:widowControl w:val="0"/>
        <w:kinsoku/>
        <w:overflowPunct/>
        <w:topLinePunct w:val="0"/>
        <w:bidi w:val="0"/>
        <w:adjustRightInd w:val="0"/>
        <w:snapToGrid w:val="0"/>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（三）</w:t>
      </w:r>
      <w:r>
        <w:rPr>
          <w:rFonts w:hint="eastAsia" w:ascii="仿宋_GB2312" w:hAnsi="仿宋_GB2312" w:eastAsia="仿宋_GB2312" w:cs="仿宋_GB2312"/>
          <w:sz w:val="32"/>
          <w:szCs w:val="32"/>
        </w:rPr>
        <w:t>严格按照《水土保持工程施工监理规范》(SL523 -2011)和《水土保持工程质量评定规程》(SL336-2006)要求，督促水土保持监理单位切实做好建设期间水土保持工程建设质量评定，加强水土保持监理工作。</w:t>
      </w:r>
    </w:p>
    <w:p>
      <w:pPr>
        <w:keepNext w:val="0"/>
        <w:keepLines w:val="0"/>
        <w:pageBreakBefore w:val="0"/>
        <w:widowControl w:val="0"/>
        <w:kinsoku/>
        <w:overflowPunct/>
        <w:topLinePunct w:val="0"/>
        <w:bidi w:val="0"/>
        <w:adjustRightInd w:val="0"/>
        <w:snapToGrid w:val="0"/>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（四）</w:t>
      </w:r>
      <w:r>
        <w:rPr>
          <w:rFonts w:hint="eastAsia" w:ascii="仿宋_GB2312" w:hAnsi="仿宋_GB2312" w:eastAsia="仿宋_GB2312" w:cs="仿宋_GB2312"/>
          <w:sz w:val="32"/>
          <w:szCs w:val="32"/>
        </w:rPr>
        <w:t>做好该项目建设期间水土保持档案资料的收集、整理和分类建档工作，为项目后续水土保持自主验收提供支撑。</w:t>
      </w:r>
    </w:p>
    <w:p>
      <w:pPr>
        <w:keepNext w:val="0"/>
        <w:keepLines w:val="0"/>
        <w:pageBreakBefore w:val="0"/>
        <w:widowControl w:val="0"/>
        <w:kinsoku/>
        <w:overflowPunct/>
        <w:topLinePunct w:val="0"/>
        <w:bidi w:val="0"/>
        <w:adjustRightInd w:val="0"/>
        <w:snapToGrid w:val="0"/>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（五）</w:t>
      </w:r>
      <w:r>
        <w:rPr>
          <w:rFonts w:hint="eastAsia" w:ascii="仿宋_GB2312" w:hAnsi="仿宋_GB2312" w:eastAsia="仿宋_GB2312" w:cs="仿宋_GB2312"/>
          <w:sz w:val="32"/>
          <w:szCs w:val="32"/>
        </w:rPr>
        <w:t>按照《水利部关于加强事中事后监管规范生产建设项目水土保持设施自主验收的通知》(水保〔2017〕365号)要求，</w:t>
      </w:r>
      <w:r>
        <w:rPr>
          <w:rFonts w:hint="eastAsia" w:ascii="仿宋_GB2312" w:hAnsi="仿宋_GB2312" w:eastAsia="仿宋_GB2312" w:cs="仿宋_GB2312"/>
          <w:sz w:val="32"/>
          <w:szCs w:val="32"/>
          <w:lang w:eastAsia="zh-CN"/>
        </w:rPr>
        <w:t>项目</w:t>
      </w:r>
      <w:r>
        <w:rPr>
          <w:rFonts w:hint="eastAsia" w:ascii="仿宋_GB2312" w:hAnsi="仿宋_GB2312" w:eastAsia="仿宋_GB2312" w:cs="仿宋_GB2312"/>
          <w:sz w:val="32"/>
          <w:szCs w:val="32"/>
        </w:rPr>
        <w:t>投产运行或竣工验收前完成水土保持设施自主验收并向我</w:t>
      </w:r>
      <w:r>
        <w:rPr>
          <w:rFonts w:hint="eastAsia" w:ascii="仿宋_GB2312" w:hAnsi="仿宋_GB2312" w:eastAsia="仿宋_GB2312" w:cs="仿宋_GB2312"/>
          <w:sz w:val="32"/>
          <w:szCs w:val="32"/>
          <w:lang w:eastAsia="zh-CN"/>
        </w:rPr>
        <w:t>局</w:t>
      </w:r>
      <w:r>
        <w:rPr>
          <w:rFonts w:hint="eastAsia" w:ascii="仿宋_GB2312" w:hAnsi="仿宋_GB2312" w:eastAsia="仿宋_GB2312" w:cs="仿宋_GB2312"/>
          <w:sz w:val="32"/>
          <w:szCs w:val="32"/>
        </w:rPr>
        <w:t>报备。</w:t>
      </w:r>
    </w:p>
    <w:p>
      <w:pPr>
        <w:keepNext w:val="0"/>
        <w:keepLines w:val="0"/>
        <w:pageBreakBefore w:val="0"/>
        <w:widowControl w:val="0"/>
        <w:kinsoku/>
        <w:wordWrap/>
        <w:overflowPunct/>
        <w:topLinePunct w:val="0"/>
        <w:autoSpaceDE/>
        <w:autoSpaceDN/>
        <w:bidi w:val="0"/>
        <w:adjustRightInd w:val="0"/>
        <w:snapToGrid w:val="0"/>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（六）</w:t>
      </w:r>
      <w:r>
        <w:rPr>
          <w:rFonts w:hint="eastAsia" w:ascii="仿宋_GB2312" w:hAnsi="仿宋_GB2312" w:eastAsia="仿宋_GB2312" w:cs="仿宋_GB2312"/>
          <w:sz w:val="32"/>
          <w:szCs w:val="32"/>
        </w:rPr>
        <w:t>请于</w:t>
      </w:r>
      <w:r>
        <w:rPr>
          <w:rFonts w:hint="eastAsia" w:ascii="仿宋_GB2312" w:hAnsi="仿宋_GB2312" w:eastAsia="仿宋_GB2312" w:cs="仿宋_GB2312"/>
          <w:sz w:val="32"/>
          <w:szCs w:val="32"/>
          <w:lang w:val="en-US" w:eastAsia="zh-CN"/>
        </w:rPr>
        <w:t>2024</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16</w:t>
      </w:r>
      <w:r>
        <w:rPr>
          <w:rFonts w:hint="eastAsia" w:ascii="仿宋_GB2312" w:hAnsi="仿宋_GB2312" w:eastAsia="仿宋_GB2312" w:cs="仿宋_GB2312"/>
          <w:sz w:val="32"/>
          <w:szCs w:val="32"/>
        </w:rPr>
        <w:t>日前完成上述问题整改，并将整改落实情况报送我</w:t>
      </w:r>
      <w:r>
        <w:rPr>
          <w:rFonts w:hint="eastAsia" w:ascii="仿宋_GB2312" w:hAnsi="仿宋_GB2312" w:eastAsia="仿宋_GB2312" w:cs="仿宋_GB2312"/>
          <w:sz w:val="32"/>
          <w:szCs w:val="32"/>
          <w:lang w:eastAsia="zh-CN"/>
        </w:rPr>
        <w:t>局</w:t>
      </w:r>
      <w:r>
        <w:rPr>
          <w:rFonts w:hint="eastAsia" w:ascii="仿宋_GB2312" w:hAnsi="仿宋_GB2312" w:eastAsia="仿宋_GB2312" w:cs="仿宋_GB2312"/>
          <w:sz w:val="32"/>
          <w:szCs w:val="32"/>
        </w:rPr>
        <w:t>和</w:t>
      </w:r>
      <w:r>
        <w:rPr>
          <w:rFonts w:hint="eastAsia" w:ascii="仿宋_GB2312" w:hAnsi="仿宋_GB2312" w:eastAsia="仿宋_GB2312" w:cs="仿宋_GB2312"/>
          <w:sz w:val="32"/>
          <w:szCs w:val="32"/>
          <w:lang w:val="en-US" w:eastAsia="zh-CN"/>
        </w:rPr>
        <w:t>相山</w:t>
      </w:r>
      <w:r>
        <w:rPr>
          <w:rFonts w:hint="eastAsia" w:ascii="仿宋_GB2312" w:hAnsi="仿宋_GB2312" w:eastAsia="仿宋_GB2312" w:cs="仿宋_GB2312"/>
          <w:sz w:val="32"/>
          <w:szCs w:val="32"/>
          <w:lang w:eastAsia="zh-CN"/>
        </w:rPr>
        <w:t>区农业农村水利局</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autoSpaceDE/>
        <w:autoSpaceDN/>
        <w:bidi w:val="0"/>
        <w:adjustRightInd w:val="0"/>
        <w:snapToGrid w:val="0"/>
        <w:spacing w:line="580"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val="0"/>
        <w:snapToGrid w:val="0"/>
        <w:spacing w:line="580" w:lineRule="exact"/>
        <w:ind w:firstLine="640" w:firstLineChars="200"/>
        <w:textAlignment w:val="auto"/>
        <w:rPr>
          <w:rFonts w:hint="eastAsia" w:ascii="仿宋_GB2312" w:hAnsi="仿宋_GB2312" w:eastAsia="仿宋_GB2312" w:cs="仿宋_GB2312"/>
          <w:sz w:val="32"/>
          <w:szCs w:val="32"/>
        </w:rPr>
      </w:pPr>
      <w:bookmarkStart w:id="0" w:name="_GoBack"/>
      <w:bookmarkEnd w:id="0"/>
      <w:r>
        <w:rPr>
          <w:rFonts w:hint="eastAsia" w:ascii="仿宋_GB2312" w:hAnsi="仿宋_GB2312" w:eastAsia="仿宋_GB2312" w:cs="仿宋_GB2312"/>
          <w:sz w:val="32"/>
          <w:szCs w:val="32"/>
        </w:rPr>
        <w:t>联系人：营军             葛晓鸣</w:t>
      </w:r>
    </w:p>
    <w:p>
      <w:pPr>
        <w:keepNext w:val="0"/>
        <w:keepLines w:val="0"/>
        <w:pageBreakBefore w:val="0"/>
        <w:widowControl w:val="0"/>
        <w:kinsoku/>
        <w:wordWrap/>
        <w:overflowPunct/>
        <w:topLinePunct w:val="0"/>
        <w:autoSpaceDE/>
        <w:autoSpaceDN/>
        <w:bidi w:val="0"/>
        <w:adjustRightInd w:val="0"/>
        <w:snapToGrid w:val="0"/>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联系电话：3192083       15656999536</w:t>
      </w:r>
    </w:p>
    <w:p>
      <w:pPr>
        <w:keepNext w:val="0"/>
        <w:keepLines w:val="0"/>
        <w:pageBreakBefore w:val="0"/>
        <w:widowControl w:val="0"/>
        <w:kinsoku/>
        <w:wordWrap/>
        <w:overflowPunct/>
        <w:topLinePunct w:val="0"/>
        <w:autoSpaceDE/>
        <w:autoSpaceDN/>
        <w:bidi w:val="0"/>
        <w:adjustRightInd w:val="0"/>
        <w:snapToGrid w:val="0"/>
        <w:spacing w:line="58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邮箱：hbsbs2083@126.com</w:t>
      </w:r>
    </w:p>
    <w:p>
      <w:pPr>
        <w:keepNext w:val="0"/>
        <w:keepLines w:val="0"/>
        <w:pageBreakBefore w:val="0"/>
        <w:widowControl w:val="0"/>
        <w:kinsoku/>
        <w:wordWrap w:val="0"/>
        <w:overflowPunct/>
        <w:topLinePunct w:val="0"/>
        <w:bidi w:val="0"/>
        <w:adjustRightInd w:val="0"/>
        <w:snapToGrid w:val="0"/>
        <w:spacing w:line="580" w:lineRule="exact"/>
        <w:ind w:firstLine="5120" w:firstLineChars="1600"/>
        <w:textAlignment w:val="auto"/>
        <w:rPr>
          <w:rFonts w:hint="eastAsia" w:ascii="仿宋_GB2312" w:hAnsi="仿宋_GB2312" w:eastAsia="仿宋_GB2312" w:cs="仿宋_GB2312"/>
          <w:sz w:val="32"/>
          <w:szCs w:val="32"/>
        </w:rPr>
      </w:pPr>
    </w:p>
    <w:p>
      <w:pPr>
        <w:keepNext w:val="0"/>
        <w:keepLines w:val="0"/>
        <w:pageBreakBefore w:val="0"/>
        <w:widowControl w:val="0"/>
        <w:kinsoku/>
        <w:wordWrap w:val="0"/>
        <w:overflowPunct/>
        <w:topLinePunct w:val="0"/>
        <w:bidi w:val="0"/>
        <w:adjustRightInd w:val="0"/>
        <w:snapToGrid w:val="0"/>
        <w:spacing w:line="580" w:lineRule="exact"/>
        <w:ind w:firstLine="5120" w:firstLineChars="16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13</w:t>
      </w:r>
      <w:r>
        <w:rPr>
          <w:rFonts w:hint="eastAsia" w:ascii="仿宋_GB2312" w:hAnsi="仿宋_GB2312" w:eastAsia="仿宋_GB2312" w:cs="仿宋_GB2312"/>
          <w:sz w:val="32"/>
          <w:szCs w:val="32"/>
        </w:rPr>
        <w:t>日</w:t>
      </w:r>
    </w:p>
    <w:sectPr>
      <w:pgSz w:w="11906" w:h="16838"/>
      <w:pgMar w:top="1440" w:right="1803" w:bottom="1440" w:left="1803"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815E7D2-EDE7-4E70-BF30-6322849F1A56}"/>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方正小标宋简体">
    <w:panose1 w:val="03000509000000000000"/>
    <w:charset w:val="86"/>
    <w:family w:val="auto"/>
    <w:pitch w:val="default"/>
    <w:sig w:usb0="00000001" w:usb1="080E0000" w:usb2="00000000" w:usb3="00000000" w:csb0="00040000" w:csb1="00000000"/>
    <w:embedRegular r:id="rId2" w:fontKey="{9EF115CE-0BF9-4B2A-B48E-3BB30BF770F6}"/>
  </w:font>
  <w:font w:name="仿宋_GB2312">
    <w:panose1 w:val="02010609030101010101"/>
    <w:charset w:val="86"/>
    <w:family w:val="auto"/>
    <w:pitch w:val="default"/>
    <w:sig w:usb0="00000001" w:usb1="080E0000" w:usb2="00000000" w:usb3="00000000" w:csb0="00040000" w:csb1="00000000"/>
    <w:embedRegular r:id="rId3" w:fontKey="{F553BA62-7E70-4B62-B0AD-CDA1B46BE749}"/>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kyYWY1Y2EyNzVlZjA5M2E2YTA4YWJmMTY0ZDQyZTEifQ=="/>
  </w:docVars>
  <w:rsids>
    <w:rsidRoot w:val="00AC07B8"/>
    <w:rsid w:val="0000155D"/>
    <w:rsid w:val="00007837"/>
    <w:rsid w:val="00042D35"/>
    <w:rsid w:val="00056403"/>
    <w:rsid w:val="00061012"/>
    <w:rsid w:val="000D1307"/>
    <w:rsid w:val="000D2765"/>
    <w:rsid w:val="000E36AF"/>
    <w:rsid w:val="000F2908"/>
    <w:rsid w:val="001020C4"/>
    <w:rsid w:val="00143AA1"/>
    <w:rsid w:val="001455ED"/>
    <w:rsid w:val="00192BCA"/>
    <w:rsid w:val="001B2686"/>
    <w:rsid w:val="001C0BAC"/>
    <w:rsid w:val="00206D35"/>
    <w:rsid w:val="00223208"/>
    <w:rsid w:val="002348D1"/>
    <w:rsid w:val="00235801"/>
    <w:rsid w:val="002433B7"/>
    <w:rsid w:val="002C0F4A"/>
    <w:rsid w:val="002C2721"/>
    <w:rsid w:val="0030088C"/>
    <w:rsid w:val="00365CFF"/>
    <w:rsid w:val="003877DE"/>
    <w:rsid w:val="00391F6D"/>
    <w:rsid w:val="003A2C8A"/>
    <w:rsid w:val="004139BC"/>
    <w:rsid w:val="004250A6"/>
    <w:rsid w:val="004350B9"/>
    <w:rsid w:val="00487AFA"/>
    <w:rsid w:val="00491252"/>
    <w:rsid w:val="004D6ACD"/>
    <w:rsid w:val="0053469E"/>
    <w:rsid w:val="0053686B"/>
    <w:rsid w:val="00550833"/>
    <w:rsid w:val="00552844"/>
    <w:rsid w:val="00562192"/>
    <w:rsid w:val="005C1FD9"/>
    <w:rsid w:val="005D7B80"/>
    <w:rsid w:val="005F2111"/>
    <w:rsid w:val="00665BF6"/>
    <w:rsid w:val="00667BFB"/>
    <w:rsid w:val="00720094"/>
    <w:rsid w:val="00743FE5"/>
    <w:rsid w:val="00761DB6"/>
    <w:rsid w:val="00764723"/>
    <w:rsid w:val="00795820"/>
    <w:rsid w:val="007B2252"/>
    <w:rsid w:val="007C791E"/>
    <w:rsid w:val="0080083F"/>
    <w:rsid w:val="00802CE9"/>
    <w:rsid w:val="00815DE4"/>
    <w:rsid w:val="008219C1"/>
    <w:rsid w:val="00854200"/>
    <w:rsid w:val="0085579A"/>
    <w:rsid w:val="00860BE1"/>
    <w:rsid w:val="0087106A"/>
    <w:rsid w:val="008A5C50"/>
    <w:rsid w:val="008B2729"/>
    <w:rsid w:val="008B2ECD"/>
    <w:rsid w:val="008B6056"/>
    <w:rsid w:val="008C128B"/>
    <w:rsid w:val="008C3281"/>
    <w:rsid w:val="008D764F"/>
    <w:rsid w:val="009065E4"/>
    <w:rsid w:val="0093270A"/>
    <w:rsid w:val="0094461B"/>
    <w:rsid w:val="00957ACB"/>
    <w:rsid w:val="00963B46"/>
    <w:rsid w:val="009908EE"/>
    <w:rsid w:val="009E1F03"/>
    <w:rsid w:val="009F5B8D"/>
    <w:rsid w:val="00A133DF"/>
    <w:rsid w:val="00A14679"/>
    <w:rsid w:val="00A5709F"/>
    <w:rsid w:val="00A66853"/>
    <w:rsid w:val="00AB2873"/>
    <w:rsid w:val="00AB6929"/>
    <w:rsid w:val="00AC07B8"/>
    <w:rsid w:val="00AD6F58"/>
    <w:rsid w:val="00B255CA"/>
    <w:rsid w:val="00B45E6A"/>
    <w:rsid w:val="00B84493"/>
    <w:rsid w:val="00B8478E"/>
    <w:rsid w:val="00B90ECE"/>
    <w:rsid w:val="00B96819"/>
    <w:rsid w:val="00BD1518"/>
    <w:rsid w:val="00C126C7"/>
    <w:rsid w:val="00C22150"/>
    <w:rsid w:val="00C55E93"/>
    <w:rsid w:val="00C64008"/>
    <w:rsid w:val="00C82CC4"/>
    <w:rsid w:val="00C91A3D"/>
    <w:rsid w:val="00C958B8"/>
    <w:rsid w:val="00CC0FD5"/>
    <w:rsid w:val="00D10A7B"/>
    <w:rsid w:val="00D353A2"/>
    <w:rsid w:val="00D40875"/>
    <w:rsid w:val="00D65B21"/>
    <w:rsid w:val="00D83C66"/>
    <w:rsid w:val="00DC206F"/>
    <w:rsid w:val="00DC74DF"/>
    <w:rsid w:val="00DE06DD"/>
    <w:rsid w:val="00DE620E"/>
    <w:rsid w:val="00DF37A1"/>
    <w:rsid w:val="00E1658B"/>
    <w:rsid w:val="00E3488D"/>
    <w:rsid w:val="00E93DA5"/>
    <w:rsid w:val="00E941D3"/>
    <w:rsid w:val="00ED26BE"/>
    <w:rsid w:val="00F00E78"/>
    <w:rsid w:val="00F07AC2"/>
    <w:rsid w:val="00F153F7"/>
    <w:rsid w:val="00F60995"/>
    <w:rsid w:val="00F72EC8"/>
    <w:rsid w:val="00F75BD3"/>
    <w:rsid w:val="00FC4D83"/>
    <w:rsid w:val="00FF08A0"/>
    <w:rsid w:val="00FF5BF3"/>
    <w:rsid w:val="082C0015"/>
    <w:rsid w:val="0DA968B7"/>
    <w:rsid w:val="103D2C81"/>
    <w:rsid w:val="111C69D5"/>
    <w:rsid w:val="118F5CAF"/>
    <w:rsid w:val="12E61B55"/>
    <w:rsid w:val="12F939B5"/>
    <w:rsid w:val="15593D0E"/>
    <w:rsid w:val="15AD49DB"/>
    <w:rsid w:val="16983E87"/>
    <w:rsid w:val="17C906F7"/>
    <w:rsid w:val="189C2207"/>
    <w:rsid w:val="1E135E67"/>
    <w:rsid w:val="1FAE29EB"/>
    <w:rsid w:val="20C119D8"/>
    <w:rsid w:val="21B96B04"/>
    <w:rsid w:val="23EA286B"/>
    <w:rsid w:val="28FB5791"/>
    <w:rsid w:val="29A2269D"/>
    <w:rsid w:val="2D275CDB"/>
    <w:rsid w:val="305D3D1F"/>
    <w:rsid w:val="327B1AA2"/>
    <w:rsid w:val="3A6A7521"/>
    <w:rsid w:val="3B912B31"/>
    <w:rsid w:val="3DDC7A09"/>
    <w:rsid w:val="3ECB69D0"/>
    <w:rsid w:val="419B53ED"/>
    <w:rsid w:val="47BE6D02"/>
    <w:rsid w:val="47DE3AA3"/>
    <w:rsid w:val="49C6281F"/>
    <w:rsid w:val="4B583D64"/>
    <w:rsid w:val="4D1A0EC1"/>
    <w:rsid w:val="4F4A05C2"/>
    <w:rsid w:val="4FD45B9B"/>
    <w:rsid w:val="552F0B14"/>
    <w:rsid w:val="5691637D"/>
    <w:rsid w:val="58407BB5"/>
    <w:rsid w:val="584577B2"/>
    <w:rsid w:val="587770C2"/>
    <w:rsid w:val="58EF5E5C"/>
    <w:rsid w:val="58F23566"/>
    <w:rsid w:val="5A237E76"/>
    <w:rsid w:val="5EAA458C"/>
    <w:rsid w:val="635E0838"/>
    <w:rsid w:val="683300CC"/>
    <w:rsid w:val="688C3663"/>
    <w:rsid w:val="6C2228DB"/>
    <w:rsid w:val="71245771"/>
    <w:rsid w:val="76B94D3D"/>
    <w:rsid w:val="7C500DD2"/>
    <w:rsid w:val="7C987D65"/>
    <w:rsid w:val="7CA22B51"/>
    <w:rsid w:val="7D60353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unhideWhenUsed/>
    <w:qFormat/>
    <w:uiPriority w:val="1"/>
  </w:style>
  <w:style w:type="table" w:default="1" w:styleId="8">
    <w:name w:val="Normal Table"/>
    <w:autoRedefine/>
    <w:semiHidden/>
    <w:unhideWhenUsed/>
    <w:qFormat/>
    <w:uiPriority w:val="99"/>
    <w:tblPr>
      <w:tblCellMar>
        <w:top w:w="0" w:type="dxa"/>
        <w:left w:w="108" w:type="dxa"/>
        <w:bottom w:w="0" w:type="dxa"/>
        <w:right w:w="108" w:type="dxa"/>
      </w:tblCellMar>
    </w:tblPr>
  </w:style>
  <w:style w:type="paragraph" w:styleId="2">
    <w:name w:val="Document Map"/>
    <w:basedOn w:val="1"/>
    <w:link w:val="13"/>
    <w:autoRedefine/>
    <w:semiHidden/>
    <w:unhideWhenUsed/>
    <w:qFormat/>
    <w:uiPriority w:val="99"/>
    <w:rPr>
      <w:rFonts w:ascii="宋体" w:eastAsia="宋体"/>
      <w:sz w:val="18"/>
      <w:szCs w:val="18"/>
    </w:rPr>
  </w:style>
  <w:style w:type="paragraph" w:styleId="3">
    <w:name w:val="Balloon Text"/>
    <w:basedOn w:val="1"/>
    <w:link w:val="14"/>
    <w:semiHidden/>
    <w:unhideWhenUsed/>
    <w:qFormat/>
    <w:uiPriority w:val="99"/>
    <w:rPr>
      <w:sz w:val="18"/>
      <w:szCs w:val="18"/>
    </w:rPr>
  </w:style>
  <w:style w:type="paragraph" w:styleId="4">
    <w:name w:val="footer"/>
    <w:basedOn w:val="1"/>
    <w:link w:val="11"/>
    <w:autoRedefine/>
    <w:unhideWhenUsed/>
    <w:qFormat/>
    <w:uiPriority w:val="99"/>
    <w:pPr>
      <w:tabs>
        <w:tab w:val="center" w:pos="4153"/>
        <w:tab w:val="right" w:pos="8306"/>
      </w:tabs>
      <w:snapToGrid w:val="0"/>
      <w:jc w:val="left"/>
    </w:pPr>
    <w:rPr>
      <w:sz w:val="18"/>
      <w:szCs w:val="18"/>
    </w:rPr>
  </w:style>
  <w:style w:type="paragraph" w:styleId="5">
    <w:name w:val="header"/>
    <w:basedOn w:val="1"/>
    <w:link w:val="10"/>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autoRedefine/>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7">
    <w:name w:val="Title"/>
    <w:basedOn w:val="1"/>
    <w:next w:val="1"/>
    <w:link w:val="12"/>
    <w:autoRedefine/>
    <w:qFormat/>
    <w:uiPriority w:val="10"/>
    <w:pPr>
      <w:spacing w:before="240" w:after="60"/>
      <w:jc w:val="center"/>
      <w:outlineLvl w:val="0"/>
    </w:pPr>
    <w:rPr>
      <w:rFonts w:eastAsia="宋体" w:asciiTheme="majorHAnsi" w:hAnsiTheme="majorHAnsi" w:cstheme="majorBidi"/>
      <w:b/>
      <w:bCs/>
      <w:sz w:val="32"/>
      <w:szCs w:val="32"/>
    </w:rPr>
  </w:style>
  <w:style w:type="character" w:customStyle="1" w:styleId="10">
    <w:name w:val="页眉 字符"/>
    <w:basedOn w:val="9"/>
    <w:link w:val="5"/>
    <w:autoRedefine/>
    <w:qFormat/>
    <w:uiPriority w:val="99"/>
    <w:rPr>
      <w:sz w:val="18"/>
      <w:szCs w:val="18"/>
    </w:rPr>
  </w:style>
  <w:style w:type="character" w:customStyle="1" w:styleId="11">
    <w:name w:val="页脚 字符"/>
    <w:basedOn w:val="9"/>
    <w:link w:val="4"/>
    <w:autoRedefine/>
    <w:qFormat/>
    <w:uiPriority w:val="99"/>
    <w:rPr>
      <w:sz w:val="18"/>
      <w:szCs w:val="18"/>
    </w:rPr>
  </w:style>
  <w:style w:type="character" w:customStyle="1" w:styleId="12">
    <w:name w:val="标题 字符"/>
    <w:basedOn w:val="9"/>
    <w:link w:val="7"/>
    <w:autoRedefine/>
    <w:qFormat/>
    <w:uiPriority w:val="10"/>
    <w:rPr>
      <w:rFonts w:eastAsia="宋体" w:asciiTheme="majorHAnsi" w:hAnsiTheme="majorHAnsi" w:cstheme="majorBidi"/>
      <w:b/>
      <w:bCs/>
      <w:sz w:val="32"/>
      <w:szCs w:val="32"/>
    </w:rPr>
  </w:style>
  <w:style w:type="character" w:customStyle="1" w:styleId="13">
    <w:name w:val="文档结构图 字符"/>
    <w:basedOn w:val="9"/>
    <w:link w:val="2"/>
    <w:autoRedefine/>
    <w:semiHidden/>
    <w:qFormat/>
    <w:uiPriority w:val="99"/>
    <w:rPr>
      <w:rFonts w:ascii="宋体" w:eastAsia="宋体"/>
      <w:kern w:val="2"/>
      <w:sz w:val="18"/>
      <w:szCs w:val="18"/>
    </w:rPr>
  </w:style>
  <w:style w:type="character" w:customStyle="1" w:styleId="14">
    <w:name w:val="批注框文本 字符"/>
    <w:basedOn w:val="9"/>
    <w:link w:val="3"/>
    <w:autoRedefine/>
    <w:semiHidden/>
    <w:qFormat/>
    <w:uiPriority w:val="99"/>
    <w:rPr>
      <w:rFonts w:asciiTheme="minorHAnsi" w:hAnsiTheme="minorHAnsi" w:eastAsiaTheme="minorEastAsia" w:cstheme="minorBidi"/>
      <w:kern w:val="2"/>
      <w:sz w:val="18"/>
      <w:szCs w:val="18"/>
    </w:rPr>
  </w:style>
  <w:style w:type="paragraph" w:styleId="15">
    <w:name w:val="List Paragraph"/>
    <w:basedOn w:val="1"/>
    <w:autoRedefine/>
    <w:unhideWhenUsed/>
    <w:qFormat/>
    <w:uiPriority w:val="99"/>
    <w:pPr>
      <w:ind w:firstLine="420" w:firstLineChars="200"/>
    </w:pPr>
  </w:style>
  <w:style w:type="paragraph" w:customStyle="1" w:styleId="16">
    <w:name w:val="Default"/>
    <w:autoRedefine/>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3</Pages>
  <Words>1344</Words>
  <Characters>1433</Characters>
  <Lines>8</Lines>
  <Paragraphs>2</Paragraphs>
  <TotalTime>82</TotalTime>
  <ScaleCrop>false</ScaleCrop>
  <LinksUpToDate>false</LinksUpToDate>
  <CharactersWithSpaces>1435</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2023-05-28T13:12:00Z</dcterms:created>
  <dc:creator>lenovo</dc:creator>
  <cp:lastModifiedBy>&amp;&amp;</cp:lastModifiedBy>
  <cp:lastPrinted>2024-06-17T01:41:36Z</cp:lastPrinted>
  <dcterms:modified xsi:type="dcterms:W3CDTF">2024-06-17T01:41:39Z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B26D035DF72E429A9FF9D884A266990B</vt:lpwstr>
  </property>
</Properties>
</file>