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pacing w:val="-20"/>
          <w:sz w:val="28"/>
          <w:szCs w:val="28"/>
          <w:lang w:eastAsia="zh-CN"/>
        </w:rPr>
      </w:pPr>
      <w:r>
        <w:rPr>
          <w:rFonts w:hint="eastAsia" w:ascii="宋体" w:hAnsi="宋体" w:cs="宋体"/>
          <w:b w:val="0"/>
          <w:bCs w:val="0"/>
          <w:spacing w:val="-20"/>
          <w:sz w:val="28"/>
          <w:szCs w:val="28"/>
          <w:lang w:eastAsia="zh-CN"/>
        </w:rPr>
        <w:t>附件：</w:t>
      </w:r>
    </w:p>
    <w:p>
      <w:pPr>
        <w:rPr>
          <w:rFonts w:hint="default"/>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关于S301延伸线建设工程（淮北段）水土保持</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ascii="Times New Roman" w:hAnsi="Times New Roman"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萧县交通投资有限责任公司：</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24日，我局委托技术服务单位对S301延伸线建设工程（淮北段）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rPr>
      </w:pPr>
      <w:r>
        <w:rPr>
          <w:rFonts w:hint="eastAsia" w:ascii="仿宋_GB2312" w:hAnsi="仿宋_GB2312" w:eastAsia="仿宋_GB2312" w:cs="仿宋_GB2312"/>
          <w:sz w:val="32"/>
          <w:szCs w:val="32"/>
        </w:rPr>
        <w:t>S301延伸线淮北段路线起于太阳山堙口(S301萧县段终点)，向东与符夹铁路立体交叉，然后与G311平交，沿沈庄煤矿废弃铁路专用线向东南方向沿伸，与淮海大道平面交叉，经路庄北，向东止于苏皖界，与徐州市玉带大道西延段终点连接，路线全长 5.268km。沿线设圆管涵13座，箱涵2座；道路平交5处、立交1处，新建施工道路310m。本工程采用城一级公路标准，双向四车道，设计速度80km/h，路基24.5m，设计洪水频率1/100。项目于2019年9月开工建设，水土保持投资为613.57万元。淮北市水务局以“淮水许可〔2016〕20号”文批复了水土保持方案，明确了建设期间水土流失防治责任范围及水土保持工作目标、任务和要求，为做好项目建设过程中水土流失防治提供了依据。截至现场检查时，项目已完成道路2km，其余路段在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从本次检查情况看，建设单位严格按照批复的水土保持方案落实相关水土保持工作，开展了水土保持监测工作，缴纳了水土保持补偿费。</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二、有关要求</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widowControl w:val="0"/>
        <w:kinsoku/>
        <w:wordWrap w:val="0"/>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1816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oHCTq0wAAAAcBAAAPAAAAAAAAAAEAIAAAACIAAABkcnMvZG93bnJldi54bWxQSwECFAAU&#10;AAAACACHTuJAj2WyEPYBAADhAwAADgAAAAAAAAABACAAAAAi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抄送：杜集区农业农村水利局</w:t>
      </w:r>
      <w:bookmarkStart w:id="0" w:name="_GoBack"/>
      <w:bookmarkEnd w:id="0"/>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267970</wp:posOffset>
                </wp:positionV>
                <wp:extent cx="5181600" cy="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4pt;margin-top:21.1pt;height:0pt;width:408pt;z-index:251659264;mso-width-relative:page;mso-height-relative:page;" filled="f" stroked="t" coordsize="21600,21600" o:gfxdata="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xWb8dIAAAAHAQAADwAAAAAAAAABACAAAAAiAAAAZHJzL2Rvd25y&#10;ZXYueG1sUEsBAhQAFAAAAAgAh07iQORZe2EEAgAA7QMAAA4AAAAAAAAAAQAgAAAAIQEAAGRycy9l&#10;Mm9Eb2MueG1sUEsFBgAAAAAGAAYAWQEAAJcFAAAAAA==&#10;">
                <v:fill on="f" focussize="0,0"/>
                <v:stroke color="#0000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338455</wp:posOffset>
                </wp:positionV>
                <wp:extent cx="51816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UviWbVAAAACAEAAA8AAAAAAAAAAQAgAAAAIgAAAGRycy9kb3ducmV2LnhtbFBLAQIU&#10;ABQAAAAIAIdO4kDcqu0r9gEAAOEDAAAOAAAAAAAAAAEAIAAAACQBAABkcnMvZTJvRG9jLnhtbFBL&#10;BQYAAAAABgAGAFkBAACMBQAAAAA=&#10;">
                <v:fill on="f" focussize="0,0"/>
                <v:stroke color="#0000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淮北市水务局办公室                      2023年6月5日印发</w:t>
      </w: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yYWY1Y2EyNzVlZjA5M2E2YTA4YWJmMTY0ZDQyZTEifQ=="/>
  </w:docVars>
  <w:rsids>
    <w:rsidRoot w:val="00AC07B8"/>
    <w:rsid w:val="0000155D"/>
    <w:rsid w:val="00007837"/>
    <w:rsid w:val="00042D35"/>
    <w:rsid w:val="00056403"/>
    <w:rsid w:val="00061012"/>
    <w:rsid w:val="000D1307"/>
    <w:rsid w:val="000D2765"/>
    <w:rsid w:val="000E36AF"/>
    <w:rsid w:val="000F2908"/>
    <w:rsid w:val="001020C4"/>
    <w:rsid w:val="00143AA1"/>
    <w:rsid w:val="001455ED"/>
    <w:rsid w:val="00192BCA"/>
    <w:rsid w:val="001B2686"/>
    <w:rsid w:val="001C0BAC"/>
    <w:rsid w:val="00206D35"/>
    <w:rsid w:val="00223208"/>
    <w:rsid w:val="002348D1"/>
    <w:rsid w:val="00235801"/>
    <w:rsid w:val="002433B7"/>
    <w:rsid w:val="002C0F4A"/>
    <w:rsid w:val="002C2721"/>
    <w:rsid w:val="0030088C"/>
    <w:rsid w:val="00365CFF"/>
    <w:rsid w:val="003877DE"/>
    <w:rsid w:val="00391F6D"/>
    <w:rsid w:val="003A2C8A"/>
    <w:rsid w:val="003F06C1"/>
    <w:rsid w:val="004139BC"/>
    <w:rsid w:val="004250A6"/>
    <w:rsid w:val="004350B9"/>
    <w:rsid w:val="00487AFA"/>
    <w:rsid w:val="00491252"/>
    <w:rsid w:val="004D6ACD"/>
    <w:rsid w:val="0053469E"/>
    <w:rsid w:val="0053686B"/>
    <w:rsid w:val="00550833"/>
    <w:rsid w:val="00552844"/>
    <w:rsid w:val="00562192"/>
    <w:rsid w:val="005C1FD9"/>
    <w:rsid w:val="005D7B80"/>
    <w:rsid w:val="005F2111"/>
    <w:rsid w:val="00665BF6"/>
    <w:rsid w:val="00667BFB"/>
    <w:rsid w:val="00720094"/>
    <w:rsid w:val="00743FE5"/>
    <w:rsid w:val="00761DB6"/>
    <w:rsid w:val="00764723"/>
    <w:rsid w:val="00795820"/>
    <w:rsid w:val="007B2252"/>
    <w:rsid w:val="007C791E"/>
    <w:rsid w:val="0080083F"/>
    <w:rsid w:val="00802CE9"/>
    <w:rsid w:val="00815DE4"/>
    <w:rsid w:val="008219C1"/>
    <w:rsid w:val="00854200"/>
    <w:rsid w:val="0085579A"/>
    <w:rsid w:val="00860BE1"/>
    <w:rsid w:val="0087106A"/>
    <w:rsid w:val="008A5C50"/>
    <w:rsid w:val="008B2729"/>
    <w:rsid w:val="008B2ECD"/>
    <w:rsid w:val="008B6056"/>
    <w:rsid w:val="008C128B"/>
    <w:rsid w:val="008C3281"/>
    <w:rsid w:val="008D764F"/>
    <w:rsid w:val="009065E4"/>
    <w:rsid w:val="0093270A"/>
    <w:rsid w:val="0094461B"/>
    <w:rsid w:val="00957ACB"/>
    <w:rsid w:val="00963B46"/>
    <w:rsid w:val="009908EE"/>
    <w:rsid w:val="009E1F03"/>
    <w:rsid w:val="009F5B8D"/>
    <w:rsid w:val="00A133DF"/>
    <w:rsid w:val="00A14679"/>
    <w:rsid w:val="00A5709F"/>
    <w:rsid w:val="00A66853"/>
    <w:rsid w:val="00AB2873"/>
    <w:rsid w:val="00AB6929"/>
    <w:rsid w:val="00AC07B8"/>
    <w:rsid w:val="00AD6F58"/>
    <w:rsid w:val="00B255CA"/>
    <w:rsid w:val="00B45E6A"/>
    <w:rsid w:val="00B84493"/>
    <w:rsid w:val="00B8478E"/>
    <w:rsid w:val="00B90ECE"/>
    <w:rsid w:val="00B96819"/>
    <w:rsid w:val="00BD1518"/>
    <w:rsid w:val="00C126C7"/>
    <w:rsid w:val="00C22150"/>
    <w:rsid w:val="00C55E93"/>
    <w:rsid w:val="00C638E6"/>
    <w:rsid w:val="00C64008"/>
    <w:rsid w:val="00C82CC4"/>
    <w:rsid w:val="00C91A3D"/>
    <w:rsid w:val="00C958B8"/>
    <w:rsid w:val="00CC0FD5"/>
    <w:rsid w:val="00D10A7B"/>
    <w:rsid w:val="00D353A2"/>
    <w:rsid w:val="00D40875"/>
    <w:rsid w:val="00D65B21"/>
    <w:rsid w:val="00D83C66"/>
    <w:rsid w:val="00DC206F"/>
    <w:rsid w:val="00DC74DF"/>
    <w:rsid w:val="00DE06DD"/>
    <w:rsid w:val="00DE620E"/>
    <w:rsid w:val="00DF37A1"/>
    <w:rsid w:val="00E1658B"/>
    <w:rsid w:val="00E3488D"/>
    <w:rsid w:val="00E93DA5"/>
    <w:rsid w:val="00E941D3"/>
    <w:rsid w:val="00ED26BE"/>
    <w:rsid w:val="00F00E78"/>
    <w:rsid w:val="00F07AC2"/>
    <w:rsid w:val="00F153F7"/>
    <w:rsid w:val="00F60995"/>
    <w:rsid w:val="00F72EC8"/>
    <w:rsid w:val="00F75BD3"/>
    <w:rsid w:val="00FC4D83"/>
    <w:rsid w:val="00FF08A0"/>
    <w:rsid w:val="00FF5BF3"/>
    <w:rsid w:val="0DA968B7"/>
    <w:rsid w:val="103D2C81"/>
    <w:rsid w:val="111C69D5"/>
    <w:rsid w:val="118F5CAF"/>
    <w:rsid w:val="15AD49DB"/>
    <w:rsid w:val="16983E87"/>
    <w:rsid w:val="17B717B2"/>
    <w:rsid w:val="189C2207"/>
    <w:rsid w:val="1E135E67"/>
    <w:rsid w:val="1FAE29EB"/>
    <w:rsid w:val="20C119D8"/>
    <w:rsid w:val="21B96B04"/>
    <w:rsid w:val="23EA286B"/>
    <w:rsid w:val="28FB5791"/>
    <w:rsid w:val="29A2269D"/>
    <w:rsid w:val="2C5B201B"/>
    <w:rsid w:val="305D3D1F"/>
    <w:rsid w:val="331D5E98"/>
    <w:rsid w:val="39737914"/>
    <w:rsid w:val="3A6A7521"/>
    <w:rsid w:val="3B912B31"/>
    <w:rsid w:val="3DDC7A09"/>
    <w:rsid w:val="3ECB69D0"/>
    <w:rsid w:val="419B53ED"/>
    <w:rsid w:val="49C6281F"/>
    <w:rsid w:val="4B583D64"/>
    <w:rsid w:val="4D1A0EC1"/>
    <w:rsid w:val="4F4A05C2"/>
    <w:rsid w:val="552F0B14"/>
    <w:rsid w:val="5691637D"/>
    <w:rsid w:val="58407BB5"/>
    <w:rsid w:val="584577B2"/>
    <w:rsid w:val="587770C2"/>
    <w:rsid w:val="58EF5E5C"/>
    <w:rsid w:val="5A237E76"/>
    <w:rsid w:val="5EAA458C"/>
    <w:rsid w:val="635E0838"/>
    <w:rsid w:val="683300CC"/>
    <w:rsid w:val="6C2228DB"/>
    <w:rsid w:val="71245771"/>
    <w:rsid w:val="76B94D3D"/>
    <w:rsid w:val="77B3238A"/>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标题 字符"/>
    <w:basedOn w:val="9"/>
    <w:link w:val="7"/>
    <w:qFormat/>
    <w:uiPriority w:val="10"/>
    <w:rPr>
      <w:rFonts w:eastAsia="宋体" w:asciiTheme="majorHAnsi" w:hAnsiTheme="majorHAnsi" w:cstheme="majorBidi"/>
      <w:b/>
      <w:bCs/>
      <w:sz w:val="32"/>
      <w:szCs w:val="32"/>
    </w:rPr>
  </w:style>
  <w:style w:type="character" w:customStyle="1" w:styleId="13">
    <w:name w:val="文档结构图 字符"/>
    <w:basedOn w:val="9"/>
    <w:link w:val="2"/>
    <w:semiHidden/>
    <w:qFormat/>
    <w:uiPriority w:val="99"/>
    <w:rPr>
      <w:rFonts w:ascii="宋体" w:eastAsia="宋体"/>
      <w:kern w:val="2"/>
      <w:sz w:val="18"/>
      <w:szCs w:val="18"/>
    </w:rPr>
  </w:style>
  <w:style w:type="character" w:customStyle="1" w:styleId="14">
    <w:name w:val="批注框文本 字符"/>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831</Words>
  <Characters>912</Characters>
  <Lines>6</Lines>
  <Paragraphs>1</Paragraphs>
  <TotalTime>2</TotalTime>
  <ScaleCrop>false</ScaleCrop>
  <LinksUpToDate>false</LinksUpToDate>
  <CharactersWithSpaces>915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2023-05-28T13:21:00Z</dcterms:created>
  <dc:creator>lenovo</dc:creator>
  <cp:lastModifiedBy>&amp;&amp;</cp:lastModifiedBy>
  <cp:lastPrinted>2023-06-02T07:15:46Z</cp:lastPrinted>
  <dcterms:modified xsi:type="dcterms:W3CDTF">2023-06-02T07:15:47Z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