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eastAsia="宋体" w:cs="宋体"/>
          <w:b w:val="0"/>
          <w:bCs w:val="0"/>
          <w:spacing w:val="-20"/>
          <w:sz w:val="32"/>
          <w:szCs w:val="32"/>
          <w:lang w:eastAsia="zh-CN"/>
        </w:rPr>
      </w:pPr>
      <w:r>
        <w:rPr>
          <w:rFonts w:hint="eastAsia" w:ascii="宋体" w:hAnsi="宋体" w:eastAsia="宋体" w:cs="宋体"/>
          <w:b w:val="0"/>
          <w:bCs w:val="0"/>
          <w:spacing w:val="-20"/>
          <w:sz w:val="32"/>
          <w:szCs w:val="32"/>
          <w:lang w:eastAsia="zh-CN"/>
        </w:rPr>
        <w:t>附件：</w:t>
      </w:r>
    </w:p>
    <w:p>
      <w:pPr>
        <w:rPr>
          <w:rFonts w:hint="eastAsia"/>
          <w:lang w:eastAsia="zh-CN"/>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lang w:eastAsia="zh-CN"/>
        </w:rPr>
      </w:pPr>
      <w:r>
        <w:rPr>
          <w:rFonts w:hint="eastAsia" w:ascii="方正小标宋简体" w:hAnsi="方正小标宋简体" w:eastAsia="方正小标宋简体" w:cs="方正小标宋简体"/>
          <w:b w:val="0"/>
          <w:bCs w:val="0"/>
          <w:spacing w:val="-20"/>
          <w:sz w:val="44"/>
          <w:szCs w:val="44"/>
        </w:rPr>
        <w:t>关于安徽口子酒业股份有限公司退城进区搬迁项目-生物工程（制曲）</w:t>
      </w:r>
      <w:r>
        <w:rPr>
          <w:rFonts w:hint="eastAsia" w:ascii="方正小标宋简体" w:hAnsi="方正小标宋简体" w:eastAsia="方正小标宋简体" w:cs="方正小标宋简体"/>
          <w:b w:val="0"/>
          <w:bCs w:val="0"/>
          <w:spacing w:val="-20"/>
          <w:sz w:val="44"/>
          <w:szCs w:val="44"/>
          <w:lang w:eastAsia="zh-CN"/>
        </w:rPr>
        <w:t>、成品酒包装</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pacing w:val="-20"/>
          <w:sz w:val="44"/>
          <w:szCs w:val="44"/>
        </w:rPr>
        <w:t>水土保持</w:t>
      </w:r>
      <w:r>
        <w:rPr>
          <w:rFonts w:hint="eastAsia" w:ascii="方正小标宋简体" w:hAnsi="方正小标宋简体" w:eastAsia="方正小标宋简体" w:cs="方正小标宋简体"/>
          <w:b w:val="0"/>
          <w:bCs w:val="0"/>
          <w:spacing w:val="-20"/>
          <w:sz w:val="44"/>
          <w:szCs w:val="44"/>
          <w:lang w:eastAsia="zh-CN"/>
        </w:rPr>
        <w:t>跟踪</w:t>
      </w:r>
      <w:r>
        <w:rPr>
          <w:rFonts w:hint="eastAsia" w:ascii="方正小标宋简体" w:hAnsi="方正小标宋简体" w:eastAsia="方正小标宋简体" w:cs="方正小标宋简体"/>
          <w:b w:val="0"/>
          <w:bCs w:val="0"/>
          <w:spacing w:val="-20"/>
          <w:sz w:val="44"/>
          <w:szCs w:val="44"/>
        </w:rPr>
        <w:t>检查的意见</w:t>
      </w:r>
    </w:p>
    <w:p>
      <w:pPr>
        <w:adjustRightInd w:val="0"/>
        <w:snapToGrid w:val="0"/>
        <w:spacing w:line="360" w:lineRule="auto"/>
        <w:rPr>
          <w:rFonts w:ascii="Times New Roman" w:hAnsi="Times New Roman" w:cs="Times New Roman"/>
          <w:sz w:val="28"/>
          <w:szCs w:val="28"/>
        </w:rPr>
      </w:pPr>
    </w:p>
    <w:p>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安徽口子酒业股份有限公司：</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16日，我局委托技术服务单位对安徽口子酒业股份有限公司退城进区搬迁项目-生物工程（制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成品酒包装开展了水土保持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adjustRightInd w:val="0"/>
        <w:snapToGrid w:val="0"/>
        <w:spacing w:line="360" w:lineRule="auto"/>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基本情况</w:t>
      </w:r>
    </w:p>
    <w:p>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一</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安徽口子酒业股份有限公司退城进区搬迁项目-生物工程（制曲）</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该</w:t>
      </w:r>
      <w:r>
        <w:rPr>
          <w:rFonts w:hint="eastAsia" w:ascii="仿宋_GB2312" w:hAnsi="仿宋_GB2312" w:eastAsia="仿宋_GB2312" w:cs="仿宋_GB2312"/>
          <w:sz w:val="32"/>
          <w:szCs w:val="32"/>
        </w:rPr>
        <w:t>项目位于淮北市石台镇，总占地面积约5.43hm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预计生产能力为20000吨。安徽口子酒业股份有限公司退城进区搬迁项目分为生物工程（制曲）项目、大曲酿造项目、优质白酒陈化老熟和存储项目以及成品酒包装项目四个子项目。其中生物工程（制曲）项目主要包括原粮工作楼及立仓、制曲原粮货场、曲库等。工程于2017年1月开工建设，总投资2.97亿元，水土保持投资为366.59万元。淮北市水务局以“淮水许可〔2020〕23号”文批复了水土保持方案，明确了建设期间水土流失防治责任范围及水土保持工作目标、任务和要求，为做好项目建设过程中水土流失防治提供了依据。截至现场检查时，项目场地东侧待建工程区未建，处于停工状态。</w:t>
      </w:r>
    </w:p>
    <w:p>
      <w:pPr>
        <w:adjustRightInd w:val="0"/>
        <w:snapToGrid w:val="0"/>
        <w:spacing w:line="360" w:lineRule="auto"/>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安徽口子酒业股份有限公司退城进区搬迁项目-成品酒包装</w:t>
      </w:r>
    </w:p>
    <w:p>
      <w:pPr>
        <w:adjustRightInd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位于杜集区石台镇境内，主要建设内容包括包装车间、高架立体成品库、办公大楼、食堂、宿舍、博物园、自来水提升泵房、自来水池、生活污水处理站以及停车场等附属设施。工程于2019年10月开工建设，总投资3.0亿元，水土保持投资为241.84万元。淮北市水务局以“淮水许可〔2022〕1号”文批复了水土保持方案，明确了建设期间水土流失防治责任范围及水土保持工作目标、任务和要求，为做好项目建设过程中水土流失防治提供了依据。截至现场检查时，项目主体工程区基本完工</w:t>
      </w:r>
      <w:r>
        <w:rPr>
          <w:rFonts w:hint="eastAsia" w:ascii="仿宋_GB2312" w:hAnsi="仿宋_GB2312" w:eastAsia="仿宋_GB2312" w:cs="仿宋_GB2312"/>
          <w:sz w:val="32"/>
          <w:szCs w:val="32"/>
          <w:lang w:eastAsia="zh-CN"/>
        </w:rPr>
        <w:t>。</w:t>
      </w:r>
    </w:p>
    <w:p>
      <w:pPr>
        <w:adjustRightInd w:val="0"/>
        <w:snapToGrid w:val="0"/>
        <w:spacing w:line="360" w:lineRule="auto"/>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本次检查发现的问题</w:t>
      </w:r>
    </w:p>
    <w:p>
      <w:pPr>
        <w:adjustRightInd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本次检查情况看，建设单位未严格按照批复的水土保持方案落实相关水土保持工作，主要表现在</w:t>
      </w:r>
      <w:r>
        <w:rPr>
          <w:rFonts w:hint="eastAsia" w:ascii="仿宋_GB2312" w:hAnsi="仿宋_GB2312" w:eastAsia="仿宋_GB2312" w:cs="仿宋_GB2312"/>
          <w:sz w:val="32"/>
          <w:szCs w:val="32"/>
          <w:lang w:eastAsia="zh-CN"/>
        </w:rPr>
        <w:t>：</w:t>
      </w:r>
    </w:p>
    <w:p>
      <w:pPr>
        <w:numPr>
          <w:ilvl w:val="0"/>
          <w:numId w:val="1"/>
        </w:numPr>
        <w:adjustRightInd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生物工程（制曲）</w:t>
      </w:r>
      <w:r>
        <w:rPr>
          <w:rFonts w:hint="eastAsia" w:ascii="仿宋_GB2312" w:hAnsi="仿宋_GB2312" w:eastAsia="仿宋_GB2312" w:cs="仿宋_GB2312"/>
          <w:sz w:val="32"/>
          <w:szCs w:val="32"/>
          <w:lang w:eastAsia="zh-CN"/>
        </w:rPr>
        <w:t>项目尽快完成待建区工程建设内容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及时</w:t>
      </w:r>
      <w:r>
        <w:rPr>
          <w:rFonts w:hint="eastAsia" w:ascii="仿宋_GB2312" w:hAnsi="仿宋_GB2312" w:eastAsia="仿宋_GB2312" w:cs="仿宋_GB2312"/>
          <w:sz w:val="32"/>
          <w:szCs w:val="32"/>
        </w:rPr>
        <w:t>组织开展水土保持设施自主验收工作</w:t>
      </w:r>
      <w:r>
        <w:rPr>
          <w:rFonts w:hint="eastAsia" w:ascii="仿宋_GB2312" w:hAnsi="仿宋_GB2312" w:eastAsia="仿宋_GB2312" w:cs="仿宋_GB2312"/>
          <w:sz w:val="32"/>
          <w:szCs w:val="32"/>
          <w:lang w:eastAsia="zh-CN"/>
        </w:rPr>
        <w:t>；</w:t>
      </w:r>
    </w:p>
    <w:p>
      <w:pPr>
        <w:numPr>
          <w:ilvl w:val="0"/>
          <w:numId w:val="0"/>
        </w:numPr>
        <w:adjustRightInd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成品酒包装</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未依法缴纳水土保持补偿费</w:t>
      </w:r>
      <w:r>
        <w:rPr>
          <w:rFonts w:hint="eastAsia" w:ascii="仿宋_GB2312" w:hAnsi="仿宋_GB2312" w:eastAsia="仿宋_GB2312" w:cs="仿宋_GB2312"/>
          <w:sz w:val="32"/>
          <w:szCs w:val="32"/>
          <w:lang w:eastAsia="zh-CN"/>
        </w:rPr>
        <w:t>，未开展水土保持设施自主验收工作</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按照《水利部办公厅关于印发生产建设项目水土保持问题分类和责任追究标准的通知》（办水保函〔2020〕564号），本次成品酒包装</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督查发现问题</w:t>
      </w:r>
      <w:r>
        <w:rPr>
          <w:rFonts w:hint="eastAsia" w:ascii="仿宋_GB2312" w:hAnsi="仿宋_GB2312" w:eastAsia="仿宋_GB2312" w:cs="仿宋_GB2312"/>
          <w:sz w:val="32"/>
          <w:szCs w:val="32"/>
          <w:lang w:eastAsia="zh-CN"/>
        </w:rPr>
        <w:t>性质分别为较重和</w:t>
      </w:r>
      <w:r>
        <w:rPr>
          <w:rFonts w:hint="eastAsia" w:ascii="仿宋_GB2312" w:hAnsi="仿宋_GB2312" w:eastAsia="仿宋_GB2312" w:cs="仿宋_GB2312"/>
          <w:sz w:val="32"/>
          <w:szCs w:val="32"/>
        </w:rPr>
        <w:t>严重，责任对象为生产建设单位，追责形式</w:t>
      </w:r>
      <w:r>
        <w:rPr>
          <w:rFonts w:hint="eastAsia" w:ascii="仿宋_GB2312" w:hAnsi="仿宋_GB2312" w:eastAsia="仿宋_GB2312" w:cs="仿宋_GB2312"/>
          <w:sz w:val="32"/>
          <w:szCs w:val="32"/>
          <w:lang w:eastAsia="zh-CN"/>
        </w:rPr>
        <w:t>分别为约谈和</w:t>
      </w:r>
      <w:r>
        <w:rPr>
          <w:rFonts w:hint="eastAsia" w:ascii="仿宋_GB2312" w:hAnsi="仿宋_GB2312" w:eastAsia="仿宋_GB2312" w:cs="仿宋_GB2312"/>
          <w:sz w:val="32"/>
          <w:szCs w:val="32"/>
        </w:rPr>
        <w:t>通报批评。</w:t>
      </w:r>
    </w:p>
    <w:p>
      <w:pPr>
        <w:adjustRightInd w:val="0"/>
        <w:snapToGrid w:val="0"/>
        <w:spacing w:line="36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尽快一次性足额缴纳水土保持补偿费17.05万元。</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.按照《水土保持工程施工监理规范》（SL 523―2011）和《水土保持工程质量评定规程》（SL 336-2006）等要求，进一步规范水土保持工作，完善水土保持监理档案资料。</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.按照水土保持法及《水利部关于加强事中事后监管规范生产建设项目水土保持设施自主验收的通知》（水保〔2017〕365号）等要求，尽快组织水土保持设施自主验收，并将验收材料按规定向我局报备。</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.请按照本次检查意见要求，</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rPr>
        <w:t>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前完成整改，并将整改落实情况报送我局。逾期不整改，将依据水土保持法律法规及《水利部办公厅关于实施生产建设项目水土保持信用监管“两单”制度的通知》（办水保〔2020〕157号）等规定，进行责任追究、信用惩戒和执法查处。</w:t>
      </w:r>
    </w:p>
    <w:p>
      <w:pPr>
        <w:adjustRightInd w:val="0"/>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adjustRightInd w:val="0"/>
        <w:snapToGrid w:val="0"/>
        <w:spacing w:line="360" w:lineRule="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adjustRightInd w:val="0"/>
        <w:snapToGrid w:val="0"/>
        <w:spacing w:line="360" w:lineRule="auto"/>
        <w:ind w:firstLine="640" w:firstLineChars="2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ind w:firstLine="5120" w:firstLineChars="1600"/>
        <w:rPr>
          <w:rFonts w:hint="eastAsia" w:ascii="仿宋_GB2312" w:hAnsi="仿宋_GB2312" w:eastAsia="仿宋_GB2312" w:cs="仿宋_GB2312"/>
          <w:sz w:val="32"/>
          <w:szCs w:val="32"/>
        </w:rPr>
      </w:pPr>
    </w:p>
    <w:p>
      <w:pPr>
        <w:wordWrap w:val="0"/>
        <w:adjustRightInd w:val="0"/>
        <w:snapToGrid w:val="0"/>
        <w:spacing w:line="540" w:lineRule="exact"/>
        <w:rPr>
          <w:rFonts w:hint="eastAsia" w:ascii="仿宋_GB2312" w:hAnsi="仿宋_GB2312" w:eastAsia="仿宋_GB2312" w:cs="仿宋_GB2312"/>
          <w:sz w:val="32"/>
          <w:szCs w:val="32"/>
        </w:rPr>
      </w:pPr>
    </w:p>
    <w:p>
      <w:pPr>
        <w:wordWrap w:val="0"/>
        <w:adjustRightInd w:val="0"/>
        <w:snapToGrid w:val="0"/>
        <w:spacing w:line="540" w:lineRule="exact"/>
        <w:rPr>
          <w:rFonts w:hint="eastAsia" w:ascii="仿宋_GB2312" w:hAnsi="仿宋_GB2312" w:eastAsia="仿宋_GB2312" w:cs="仿宋_GB2312"/>
          <w:sz w:val="32"/>
          <w:szCs w:val="32"/>
        </w:rPr>
      </w:pPr>
    </w:p>
    <w:p>
      <w:pPr>
        <w:wordWrap w:val="0"/>
        <w:adjustRightInd w:val="0"/>
        <w:snapToGrid w:val="0"/>
        <w:spacing w:line="540" w:lineRule="exact"/>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328930</wp:posOffset>
                </wp:positionV>
                <wp:extent cx="51816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fill on="f" focussize="0,0"/>
                <v:stroke color="#000000 [3200]" joinstyle="round"/>
                <v:imagedata o:title=""/>
                <o:lock v:ext="edit" aspectratio="f"/>
              </v:line>
            </w:pict>
          </mc:Fallback>
        </mc:AlternateConten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17780</wp:posOffset>
                </wp:positionH>
                <wp:positionV relativeFrom="paragraph">
                  <wp:posOffset>309245</wp:posOffset>
                </wp:positionV>
                <wp:extent cx="5181600" cy="0"/>
                <wp:effectExtent l="0" t="0" r="0" b="0"/>
                <wp:wrapNone/>
                <wp:docPr id="2" name="直接连接符 2"/>
                <wp:cNvGraphicFramePr/>
                <a:graphic xmlns:a="http://schemas.openxmlformats.org/drawingml/2006/main">
                  <a:graphicData uri="http://schemas.microsoft.com/office/word/2010/wordprocessingShape">
                    <wps:wsp>
                      <wps:cNvCnPr/>
                      <wps:spPr>
                        <a:xfrm>
                          <a:off x="1162685" y="9142095"/>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fill on="f" focussize="0,0"/>
                <v:stroke color="#000000 [3200]" joinstyle="round"/>
                <v:imagedata o:title=""/>
                <o:lock v:ext="edit" aspectratio="f"/>
              </v:line>
            </w:pict>
          </mc:Fallback>
        </mc:AlternateContent>
      </w:r>
      <w:r>
        <w:rPr>
          <w:rFonts w:hint="eastAsia" w:ascii="仿宋_GB2312" w:hAnsi="仿宋_GB2312" w:eastAsia="仿宋_GB2312" w:cs="仿宋_GB2312"/>
          <w:sz w:val="28"/>
          <w:szCs w:val="28"/>
          <w:u w:val="none"/>
          <w:lang w:eastAsia="zh-CN"/>
        </w:rPr>
        <w:t>抄送：杜集区农业农村水利局，淮北市水政监察支队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338455</wp:posOffset>
                </wp:positionV>
                <wp:extent cx="51816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18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fill on="f" focussize="0,0"/>
                <v:stroke color="#000000 [3200]" joinstyle="round"/>
                <v:imagedata o:title=""/>
                <o:lock v:ext="edit" aspectratio="f"/>
              </v:line>
            </w:pict>
          </mc:Fallback>
        </mc:AlternateContent>
      </w:r>
      <w:r>
        <w:rPr>
          <w:rFonts w:hint="eastAsia" w:ascii="仿宋_GB2312" w:hAnsi="仿宋_GB2312" w:eastAsia="仿宋_GB2312" w:cs="仿宋_GB2312"/>
          <w:kern w:val="2"/>
          <w:sz w:val="28"/>
          <w:szCs w:val="28"/>
          <w:lang w:val="en-US" w:eastAsia="zh-CN" w:bidi="ar-SA"/>
        </w:rPr>
        <w:t>淮北市水务局办公室                    2023年5月30日印发</w:t>
      </w:r>
    </w:p>
    <w:p>
      <w:pPr>
        <w:wordWrap w:val="0"/>
        <w:adjustRightInd w:val="0"/>
        <w:snapToGrid w:val="0"/>
        <w:spacing w:line="480" w:lineRule="auto"/>
        <w:rPr>
          <w:rFonts w:hint="default" w:cstheme="minorBidi"/>
          <w:kern w:val="2"/>
          <w:sz w:val="21"/>
          <w:szCs w:val="22"/>
          <w:lang w:val="en-US" w:eastAsia="zh-CN" w:bidi="ar-SA"/>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4F6F9F"/>
    <w:multiLevelType w:val="singleLevel"/>
    <w:tmpl w:val="AB4F6F9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YWY1Y2EyNzVlZjA5M2E2YTA4YWJmMTY0ZDQyZTEifQ=="/>
  </w:docVars>
  <w:rsids>
    <w:rsidRoot w:val="00AC07B8"/>
    <w:rsid w:val="000062FD"/>
    <w:rsid w:val="00007837"/>
    <w:rsid w:val="00012FE5"/>
    <w:rsid w:val="00042D35"/>
    <w:rsid w:val="00056403"/>
    <w:rsid w:val="00060544"/>
    <w:rsid w:val="000D1307"/>
    <w:rsid w:val="000E36AF"/>
    <w:rsid w:val="000F2908"/>
    <w:rsid w:val="001020C4"/>
    <w:rsid w:val="00143AA1"/>
    <w:rsid w:val="00144CFF"/>
    <w:rsid w:val="00192BCA"/>
    <w:rsid w:val="001B2686"/>
    <w:rsid w:val="001C0BAC"/>
    <w:rsid w:val="00206D35"/>
    <w:rsid w:val="00223208"/>
    <w:rsid w:val="002255D7"/>
    <w:rsid w:val="00235801"/>
    <w:rsid w:val="002C0F4A"/>
    <w:rsid w:val="002C2721"/>
    <w:rsid w:val="002D2F13"/>
    <w:rsid w:val="0030088C"/>
    <w:rsid w:val="003110EF"/>
    <w:rsid w:val="00365CFF"/>
    <w:rsid w:val="0038521F"/>
    <w:rsid w:val="003877DE"/>
    <w:rsid w:val="00391F6D"/>
    <w:rsid w:val="003A2C8A"/>
    <w:rsid w:val="004250A6"/>
    <w:rsid w:val="004350B9"/>
    <w:rsid w:val="00463296"/>
    <w:rsid w:val="00487AFA"/>
    <w:rsid w:val="00491252"/>
    <w:rsid w:val="0053469E"/>
    <w:rsid w:val="0053686B"/>
    <w:rsid w:val="005520A4"/>
    <w:rsid w:val="00552844"/>
    <w:rsid w:val="005C1FD9"/>
    <w:rsid w:val="005D7B80"/>
    <w:rsid w:val="005F2111"/>
    <w:rsid w:val="00665BF6"/>
    <w:rsid w:val="006666D3"/>
    <w:rsid w:val="00667BFB"/>
    <w:rsid w:val="00761DB6"/>
    <w:rsid w:val="00764723"/>
    <w:rsid w:val="007B2252"/>
    <w:rsid w:val="007C791E"/>
    <w:rsid w:val="0080083F"/>
    <w:rsid w:val="00802CE9"/>
    <w:rsid w:val="00815DE4"/>
    <w:rsid w:val="008520A4"/>
    <w:rsid w:val="00854200"/>
    <w:rsid w:val="0085579A"/>
    <w:rsid w:val="00856D57"/>
    <w:rsid w:val="00860934"/>
    <w:rsid w:val="0087106A"/>
    <w:rsid w:val="008A5C50"/>
    <w:rsid w:val="008B2729"/>
    <w:rsid w:val="008B2ECD"/>
    <w:rsid w:val="008C3281"/>
    <w:rsid w:val="008D764F"/>
    <w:rsid w:val="008F7BF0"/>
    <w:rsid w:val="009065E4"/>
    <w:rsid w:val="00913761"/>
    <w:rsid w:val="0094461B"/>
    <w:rsid w:val="00957ACB"/>
    <w:rsid w:val="009908EE"/>
    <w:rsid w:val="009A3E84"/>
    <w:rsid w:val="009E1F03"/>
    <w:rsid w:val="009F5B8D"/>
    <w:rsid w:val="009F7815"/>
    <w:rsid w:val="00A133DF"/>
    <w:rsid w:val="00A14679"/>
    <w:rsid w:val="00A54256"/>
    <w:rsid w:val="00A5709F"/>
    <w:rsid w:val="00A66853"/>
    <w:rsid w:val="00AB6929"/>
    <w:rsid w:val="00AC07B8"/>
    <w:rsid w:val="00AD6F58"/>
    <w:rsid w:val="00B255CA"/>
    <w:rsid w:val="00B45E6A"/>
    <w:rsid w:val="00B83B4F"/>
    <w:rsid w:val="00B84493"/>
    <w:rsid w:val="00B8478E"/>
    <w:rsid w:val="00B90ECE"/>
    <w:rsid w:val="00BD1518"/>
    <w:rsid w:val="00C126F3"/>
    <w:rsid w:val="00C20529"/>
    <w:rsid w:val="00C22150"/>
    <w:rsid w:val="00C55E93"/>
    <w:rsid w:val="00C64008"/>
    <w:rsid w:val="00C82CC4"/>
    <w:rsid w:val="00C84F66"/>
    <w:rsid w:val="00C91A3D"/>
    <w:rsid w:val="00C958B8"/>
    <w:rsid w:val="00CB795F"/>
    <w:rsid w:val="00CC0FD5"/>
    <w:rsid w:val="00D00F23"/>
    <w:rsid w:val="00D10A7B"/>
    <w:rsid w:val="00D353A2"/>
    <w:rsid w:val="00D40875"/>
    <w:rsid w:val="00D65B21"/>
    <w:rsid w:val="00D82053"/>
    <w:rsid w:val="00D83C66"/>
    <w:rsid w:val="00DA298E"/>
    <w:rsid w:val="00DC6142"/>
    <w:rsid w:val="00DC74DF"/>
    <w:rsid w:val="00DE28DF"/>
    <w:rsid w:val="00DE620E"/>
    <w:rsid w:val="00E3417A"/>
    <w:rsid w:val="00E3488D"/>
    <w:rsid w:val="00E93DA5"/>
    <w:rsid w:val="00E941D3"/>
    <w:rsid w:val="00ED26BE"/>
    <w:rsid w:val="00F00E78"/>
    <w:rsid w:val="00F07AC2"/>
    <w:rsid w:val="00F153F7"/>
    <w:rsid w:val="00F5290A"/>
    <w:rsid w:val="00F72EC8"/>
    <w:rsid w:val="00F75BD3"/>
    <w:rsid w:val="00F840B0"/>
    <w:rsid w:val="00FC4D83"/>
    <w:rsid w:val="00FF08A0"/>
    <w:rsid w:val="00FF5BF3"/>
    <w:rsid w:val="0DA968B7"/>
    <w:rsid w:val="103D2C81"/>
    <w:rsid w:val="111C69D5"/>
    <w:rsid w:val="118F5CAF"/>
    <w:rsid w:val="123A4C3F"/>
    <w:rsid w:val="15AD49DB"/>
    <w:rsid w:val="16983E87"/>
    <w:rsid w:val="189C2207"/>
    <w:rsid w:val="1E135E67"/>
    <w:rsid w:val="1FAE29EB"/>
    <w:rsid w:val="201D679B"/>
    <w:rsid w:val="20C119D8"/>
    <w:rsid w:val="21B96B04"/>
    <w:rsid w:val="23EA286B"/>
    <w:rsid w:val="28FB5791"/>
    <w:rsid w:val="29A2269D"/>
    <w:rsid w:val="2CE859BE"/>
    <w:rsid w:val="305D3D1F"/>
    <w:rsid w:val="36EF556B"/>
    <w:rsid w:val="3A6A7521"/>
    <w:rsid w:val="3B912B31"/>
    <w:rsid w:val="3DDB63AA"/>
    <w:rsid w:val="3DDC7A09"/>
    <w:rsid w:val="3ECB69D0"/>
    <w:rsid w:val="40226FEE"/>
    <w:rsid w:val="411918A4"/>
    <w:rsid w:val="419B53ED"/>
    <w:rsid w:val="49C6281F"/>
    <w:rsid w:val="4B583D64"/>
    <w:rsid w:val="4D1A0EC1"/>
    <w:rsid w:val="4F4A05C2"/>
    <w:rsid w:val="50FC49E8"/>
    <w:rsid w:val="552F0B14"/>
    <w:rsid w:val="56476589"/>
    <w:rsid w:val="5691637D"/>
    <w:rsid w:val="58407BB5"/>
    <w:rsid w:val="584577B2"/>
    <w:rsid w:val="587770C2"/>
    <w:rsid w:val="58EF5E5C"/>
    <w:rsid w:val="5A237E76"/>
    <w:rsid w:val="5EAA458C"/>
    <w:rsid w:val="635E0838"/>
    <w:rsid w:val="683300CC"/>
    <w:rsid w:val="6C2228DB"/>
    <w:rsid w:val="71245771"/>
    <w:rsid w:val="76B94D3D"/>
    <w:rsid w:val="7C987D65"/>
    <w:rsid w:val="7CA22B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character" w:customStyle="1" w:styleId="12">
    <w:name w:val="标题 Char"/>
    <w:basedOn w:val="9"/>
    <w:link w:val="7"/>
    <w:qFormat/>
    <w:uiPriority w:val="10"/>
    <w:rPr>
      <w:rFonts w:eastAsia="宋体" w:asciiTheme="majorHAnsi" w:hAnsiTheme="majorHAnsi" w:cstheme="majorBidi"/>
      <w:b/>
      <w:bCs/>
      <w:sz w:val="32"/>
      <w:szCs w:val="32"/>
    </w:rPr>
  </w:style>
  <w:style w:type="character" w:customStyle="1" w:styleId="13">
    <w:name w:val="文档结构图 Char"/>
    <w:basedOn w:val="9"/>
    <w:link w:val="2"/>
    <w:semiHidden/>
    <w:qFormat/>
    <w:uiPriority w:val="99"/>
    <w:rPr>
      <w:rFonts w:ascii="宋体" w:eastAsia="宋体"/>
      <w:kern w:val="2"/>
      <w:sz w:val="18"/>
      <w:szCs w:val="18"/>
    </w:rPr>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1491</Words>
  <Characters>1605</Characters>
  <Lines>8</Lines>
  <Paragraphs>2</Paragraphs>
  <TotalTime>10</TotalTime>
  <ScaleCrop>false</ScaleCrop>
  <LinksUpToDate>false</LinksUpToDate>
  <CharactersWithSpaces>1637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2023-05-31T07:48:32Z</cp:lastPrinted>
  <dcterms:modified xsi:type="dcterms:W3CDTF">2023-05-31T07:48:33Z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24B3D6AEDE674A56B804C91AB7F3CB90_13</vt:lpwstr>
  </property>
</Properties>
</file>