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E8A46">
      <w:pPr>
        <w:spacing w:line="560" w:lineRule="exact"/>
        <w:rPr>
          <w:rFonts w:hint="eastAsia" w:ascii="TimesNewRoman" w:hAnsi="TimesNewRoman" w:eastAsia="黑体" w:cs="TimesNewRoman"/>
          <w:color w:val="auto"/>
          <w:szCs w:val="32"/>
        </w:rPr>
      </w:pPr>
      <w:r>
        <w:rPr>
          <w:rFonts w:hint="eastAsia" w:ascii="TimesNewRoman" w:hAnsi="TimesNewRoman" w:eastAsia="黑体" w:cs="TimesNewRoman"/>
          <w:color w:val="auto"/>
          <w:szCs w:val="32"/>
        </w:rPr>
        <w:t>附件1-1</w:t>
      </w:r>
    </w:p>
    <w:p w14:paraId="233FE6EF">
      <w:pPr>
        <w:rPr>
          <w:color w:val="auto"/>
        </w:rPr>
      </w:pPr>
    </w:p>
    <w:p w14:paraId="61C9ABCB">
      <w:pPr>
        <w:rPr>
          <w:rFonts w:hint="eastAsia"/>
          <w:color w:val="auto"/>
        </w:rPr>
      </w:pPr>
    </w:p>
    <w:p w14:paraId="6E3B0093">
      <w:pPr>
        <w:rPr>
          <w:rFonts w:hint="eastAsia"/>
          <w:color w:val="auto"/>
        </w:rPr>
      </w:pPr>
    </w:p>
    <w:p w14:paraId="2EC2208E">
      <w:pPr>
        <w:rPr>
          <w:rFonts w:hint="eastAsia"/>
          <w:color w:val="auto"/>
        </w:rPr>
      </w:pPr>
    </w:p>
    <w:p w14:paraId="070E5C9E">
      <w:pPr>
        <w:rPr>
          <w:rFonts w:hint="eastAsia"/>
          <w:color w:val="auto"/>
        </w:rPr>
      </w:pPr>
    </w:p>
    <w:p w14:paraId="32F99B3B">
      <w:pPr>
        <w:rPr>
          <w:rFonts w:hint="eastAsia"/>
          <w:color w:val="auto"/>
        </w:rPr>
      </w:pPr>
    </w:p>
    <w:p w14:paraId="2693883B">
      <w:pPr>
        <w:rPr>
          <w:rFonts w:hint="eastAsia"/>
          <w:color w:val="auto"/>
        </w:rPr>
      </w:pPr>
    </w:p>
    <w:p w14:paraId="513C938C">
      <w:pPr>
        <w:rPr>
          <w:color w:val="auto"/>
        </w:rPr>
      </w:pPr>
    </w:p>
    <w:p w14:paraId="628472D3">
      <w:pPr>
        <w:spacing w:line="560" w:lineRule="exact"/>
        <w:jc w:val="center"/>
        <w:rPr>
          <w:rFonts w:hint="eastAsia" w:ascii="TimesNewRoman" w:hAnsi="TimesNewRoman" w:eastAsia="华文中宋" w:cs="TimesNewRoman"/>
          <w:b/>
          <w:color w:val="auto"/>
          <w:sz w:val="44"/>
          <w:szCs w:val="44"/>
        </w:rPr>
      </w:pPr>
      <w:r>
        <w:rPr>
          <w:rFonts w:hint="eastAsia" w:ascii="TimesNewRoman" w:hAnsi="TimesNewRoman" w:eastAsia="华文中宋" w:cs="TimesNewRoman"/>
          <w:b/>
          <w:color w:val="auto"/>
          <w:sz w:val="44"/>
          <w:szCs w:val="44"/>
        </w:rPr>
        <w:t>淮北市</w:t>
      </w:r>
      <w:r>
        <w:rPr>
          <w:rFonts w:hint="eastAsia" w:ascii="TimesNewRoman" w:hAnsi="TimesNewRoman" w:eastAsia="华文中宋" w:cs="TimesNewRoman"/>
          <w:b/>
          <w:color w:val="auto"/>
          <w:sz w:val="44"/>
          <w:szCs w:val="44"/>
          <w:lang w:eastAsia="zh-CN"/>
        </w:rPr>
        <w:t>水利工程质量监督站</w:t>
      </w:r>
      <w:r>
        <w:rPr>
          <w:rFonts w:hint="eastAsia" w:ascii="TimesNewRoman" w:hAnsi="TimesNewRoman" w:eastAsia="华文中宋" w:cs="TimesNewRoman"/>
          <w:b/>
          <w:color w:val="auto"/>
          <w:sz w:val="44"/>
          <w:szCs w:val="44"/>
        </w:rPr>
        <w:t>2023年</w:t>
      </w:r>
    </w:p>
    <w:p w14:paraId="0B2ED220">
      <w:pPr>
        <w:spacing w:line="560" w:lineRule="exact"/>
        <w:jc w:val="center"/>
        <w:rPr>
          <w:rFonts w:hint="eastAsia" w:ascii="TimesNewRoman" w:hAnsi="TimesNewRoman" w:eastAsia="华文中宋" w:cs="TimesNewRoman"/>
          <w:b/>
          <w:color w:val="auto"/>
          <w:sz w:val="44"/>
          <w:szCs w:val="44"/>
        </w:rPr>
      </w:pPr>
      <w:r>
        <w:rPr>
          <w:rFonts w:hint="eastAsia" w:ascii="TimesNewRoman" w:hAnsi="TimesNewRoman" w:eastAsia="华文中宋" w:cs="TimesNewRoman"/>
          <w:b/>
          <w:color w:val="auto"/>
          <w:sz w:val="44"/>
          <w:szCs w:val="44"/>
        </w:rPr>
        <w:t>单位预算</w:t>
      </w:r>
    </w:p>
    <w:p w14:paraId="69E68A02">
      <w:pPr>
        <w:rPr>
          <w:color w:val="auto"/>
        </w:rPr>
      </w:pPr>
    </w:p>
    <w:p w14:paraId="53171B59">
      <w:pPr>
        <w:rPr>
          <w:color w:val="auto"/>
        </w:rPr>
      </w:pPr>
    </w:p>
    <w:p w14:paraId="53766DC3">
      <w:pPr>
        <w:rPr>
          <w:color w:val="auto"/>
        </w:rPr>
      </w:pPr>
    </w:p>
    <w:p w14:paraId="557C3D46">
      <w:pPr>
        <w:rPr>
          <w:color w:val="auto"/>
        </w:rPr>
      </w:pPr>
    </w:p>
    <w:p w14:paraId="5463BC42">
      <w:pPr>
        <w:rPr>
          <w:color w:val="auto"/>
        </w:rPr>
      </w:pPr>
    </w:p>
    <w:p w14:paraId="4F917652">
      <w:pPr>
        <w:rPr>
          <w:rFonts w:hint="eastAsia"/>
          <w:color w:val="auto"/>
        </w:rPr>
      </w:pPr>
    </w:p>
    <w:p w14:paraId="76813E70">
      <w:pPr>
        <w:rPr>
          <w:rFonts w:hint="eastAsia"/>
          <w:color w:val="auto"/>
        </w:rPr>
      </w:pPr>
    </w:p>
    <w:p w14:paraId="67A746AB">
      <w:pPr>
        <w:rPr>
          <w:rFonts w:hint="eastAsia"/>
          <w:color w:val="auto"/>
        </w:rPr>
      </w:pPr>
    </w:p>
    <w:p w14:paraId="6008D16C">
      <w:pPr>
        <w:rPr>
          <w:rFonts w:hint="eastAsia"/>
          <w:color w:val="auto"/>
        </w:rPr>
      </w:pPr>
    </w:p>
    <w:p w14:paraId="034E8830">
      <w:pPr>
        <w:rPr>
          <w:rFonts w:hint="eastAsia"/>
          <w:color w:val="auto"/>
        </w:rPr>
      </w:pPr>
    </w:p>
    <w:p w14:paraId="46752E68">
      <w:pPr>
        <w:rPr>
          <w:rFonts w:hint="eastAsia"/>
          <w:color w:val="auto"/>
        </w:rPr>
      </w:pPr>
    </w:p>
    <w:p w14:paraId="452E9819">
      <w:pPr>
        <w:rPr>
          <w:rFonts w:hint="eastAsia"/>
          <w:color w:val="auto"/>
        </w:rPr>
      </w:pPr>
    </w:p>
    <w:p w14:paraId="5EB0842F">
      <w:pPr>
        <w:rPr>
          <w:rFonts w:hint="eastAsia"/>
          <w:color w:val="auto"/>
        </w:rPr>
      </w:pPr>
    </w:p>
    <w:p w14:paraId="3F4DBE01">
      <w:pPr>
        <w:rPr>
          <w:rFonts w:hint="eastAsia"/>
          <w:color w:val="auto"/>
        </w:rPr>
      </w:pPr>
    </w:p>
    <w:p w14:paraId="12296913">
      <w:pPr>
        <w:rPr>
          <w:rFonts w:hint="eastAsia"/>
          <w:color w:val="auto"/>
        </w:rPr>
      </w:pPr>
    </w:p>
    <w:p w14:paraId="2EE87748">
      <w:pPr>
        <w:rPr>
          <w:rFonts w:hint="eastAsia"/>
          <w:color w:val="auto"/>
        </w:rPr>
      </w:pPr>
    </w:p>
    <w:p w14:paraId="26301F9D">
      <w:pPr>
        <w:rPr>
          <w:color w:val="auto"/>
        </w:rPr>
      </w:pPr>
    </w:p>
    <w:p w14:paraId="2D6C37E5">
      <w:pPr>
        <w:rPr>
          <w:color w:val="auto"/>
        </w:rPr>
      </w:pPr>
    </w:p>
    <w:p w14:paraId="418C213B">
      <w:pPr>
        <w:rPr>
          <w:rFonts w:hint="eastAsia"/>
          <w:color w:val="auto"/>
        </w:rPr>
      </w:pPr>
    </w:p>
    <w:p w14:paraId="5ADE2A5D">
      <w:pPr>
        <w:rPr>
          <w:rFonts w:hint="eastAsia"/>
          <w:color w:val="auto"/>
        </w:rPr>
      </w:pPr>
    </w:p>
    <w:p w14:paraId="0EEBDE4B">
      <w:pPr>
        <w:rPr>
          <w:rFonts w:hint="eastAsia"/>
          <w:color w:val="auto"/>
        </w:rPr>
      </w:pPr>
    </w:p>
    <w:p w14:paraId="672F1C11">
      <w:pPr>
        <w:rPr>
          <w:rFonts w:hint="eastAsia"/>
          <w:color w:val="auto"/>
        </w:rPr>
      </w:pPr>
    </w:p>
    <w:p w14:paraId="54FB37B1">
      <w:pPr>
        <w:rPr>
          <w:color w:val="auto"/>
        </w:rPr>
      </w:pPr>
    </w:p>
    <w:p w14:paraId="0D8B4515">
      <w:pPr>
        <w:pStyle w:val="6"/>
        <w:adjustRightInd w:val="0"/>
        <w:snapToGrid w:val="0"/>
        <w:spacing w:line="560" w:lineRule="exact"/>
        <w:jc w:val="center"/>
        <w:rPr>
          <w:rFonts w:hint="eastAsia" w:ascii="TimesNewRoman" w:hAnsi="TimesNewRoman" w:eastAsia="黑体" w:cs="TimesNewRoman"/>
          <w:bCs/>
          <w:color w:val="auto"/>
          <w:sz w:val="44"/>
          <w:szCs w:val="44"/>
        </w:rPr>
      </w:pPr>
    </w:p>
    <w:p w14:paraId="5AED8AA9">
      <w:pPr>
        <w:pStyle w:val="6"/>
        <w:adjustRightInd w:val="0"/>
        <w:snapToGrid w:val="0"/>
        <w:spacing w:line="560" w:lineRule="exact"/>
        <w:jc w:val="center"/>
        <w:rPr>
          <w:rFonts w:hint="eastAsia" w:ascii="TimesNewRoman" w:hAnsi="TimesNewRoman" w:eastAsia="黑体" w:cs="TimesNewRoman"/>
          <w:bCs/>
          <w:color w:val="auto"/>
          <w:sz w:val="44"/>
          <w:szCs w:val="44"/>
        </w:rPr>
      </w:pPr>
      <w:r>
        <w:rPr>
          <w:rFonts w:hint="eastAsia" w:ascii="TimesNewRoman" w:hAnsi="TimesNewRoman" w:eastAsia="黑体" w:cs="TimesNewRoman"/>
          <w:bCs/>
          <w:color w:val="auto"/>
          <w:sz w:val="44"/>
          <w:szCs w:val="44"/>
        </w:rPr>
        <w:t>2023年</w:t>
      </w:r>
      <w:r>
        <w:rPr>
          <w:rFonts w:hint="eastAsia" w:ascii="TimesNewRoman" w:hAnsi="TimesNewRoman" w:eastAsia="黑体" w:cs="TimesNewRoman"/>
          <w:bCs/>
          <w:color w:val="auto"/>
          <w:sz w:val="44"/>
          <w:szCs w:val="44"/>
          <w:lang w:val="en-US" w:eastAsia="zh-CN"/>
        </w:rPr>
        <w:t>2</w:t>
      </w:r>
      <w:r>
        <w:rPr>
          <w:rFonts w:hint="eastAsia" w:ascii="TimesNewRoman" w:hAnsi="TimesNewRoman" w:eastAsia="黑体" w:cs="TimesNewRoman"/>
          <w:bCs/>
          <w:color w:val="auto"/>
          <w:sz w:val="44"/>
          <w:szCs w:val="44"/>
        </w:rPr>
        <w:t>月</w:t>
      </w:r>
    </w:p>
    <w:p w14:paraId="1A6602FD">
      <w:pPr>
        <w:rPr>
          <w:rFonts w:hint="eastAsia"/>
          <w:color w:val="auto"/>
        </w:rPr>
      </w:pPr>
    </w:p>
    <w:p w14:paraId="40C15F06">
      <w:pPr>
        <w:rPr>
          <w:color w:val="auto"/>
        </w:rPr>
      </w:pPr>
    </w:p>
    <w:p w14:paraId="6D429FB4">
      <w:pPr>
        <w:pStyle w:val="6"/>
        <w:adjustRightInd w:val="0"/>
        <w:snapToGrid w:val="0"/>
        <w:spacing w:line="560" w:lineRule="exact"/>
        <w:jc w:val="center"/>
        <w:rPr>
          <w:rFonts w:hint="eastAsia" w:ascii="TimesNewRoman" w:hAnsi="TimesNewRoman" w:eastAsia="黑体" w:cs="TimesNewRoman"/>
          <w:bCs/>
          <w:color w:val="auto"/>
          <w:sz w:val="44"/>
          <w:szCs w:val="44"/>
        </w:rPr>
      </w:pPr>
      <w:r>
        <w:rPr>
          <w:rFonts w:hint="eastAsia" w:ascii="TimesNewRoman" w:hAnsi="TimesNewRoman" w:eastAsia="黑体" w:cs="TimesNewRoman"/>
          <w:bCs/>
          <w:color w:val="auto"/>
          <w:sz w:val="44"/>
          <w:szCs w:val="44"/>
        </w:rPr>
        <w:t>目  录</w:t>
      </w:r>
    </w:p>
    <w:p w14:paraId="1E0466CE">
      <w:pPr>
        <w:rPr>
          <w:color w:val="auto"/>
        </w:rPr>
      </w:pPr>
    </w:p>
    <w:p w14:paraId="24805473">
      <w:pPr>
        <w:pStyle w:val="6"/>
        <w:adjustRightInd w:val="0"/>
        <w:snapToGrid w:val="0"/>
        <w:spacing w:line="40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第一部分 单位概况</w:t>
      </w:r>
    </w:p>
    <w:p w14:paraId="39733A2C">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1、主要职责</w:t>
      </w:r>
    </w:p>
    <w:p w14:paraId="46B5EF87">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2、单位预算构成</w:t>
      </w:r>
    </w:p>
    <w:p w14:paraId="519FA64D">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3 、2023年度主要工作任务</w:t>
      </w:r>
    </w:p>
    <w:p w14:paraId="1FE699DB">
      <w:pPr>
        <w:pStyle w:val="6"/>
        <w:adjustRightInd w:val="0"/>
        <w:snapToGrid w:val="0"/>
        <w:spacing w:line="40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第二部分 2023年单位预算表</w:t>
      </w:r>
    </w:p>
    <w:p w14:paraId="32998A14">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2023年收支总表</w:t>
      </w:r>
    </w:p>
    <w:p w14:paraId="312CD09E">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2、淮北市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lang w:val="en-US" w:eastAsia="zh-CN"/>
        </w:rPr>
        <w:t>2</w:t>
      </w:r>
      <w:r>
        <w:rPr>
          <w:rFonts w:hint="eastAsia" w:ascii="TimesNewRoman" w:hAnsi="TimesNewRoman" w:eastAsia="仿宋_GB2312" w:cs="TimesNewRoman"/>
          <w:bCs/>
          <w:color w:val="auto"/>
          <w:sz w:val="32"/>
          <w:szCs w:val="32"/>
        </w:rPr>
        <w:t>023年收入总表</w:t>
      </w:r>
    </w:p>
    <w:p w14:paraId="21ECDCEA">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3、淮北市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2023年支出总表</w:t>
      </w:r>
    </w:p>
    <w:p w14:paraId="543ED351">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4、淮北市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2023年财政拨款收支总表</w:t>
      </w:r>
    </w:p>
    <w:p w14:paraId="51365256">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5、淮北市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2023年一般公共预算支出表</w:t>
      </w:r>
    </w:p>
    <w:p w14:paraId="779DED4D">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6、淮北市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2023年一般公共预算基本支出表</w:t>
      </w:r>
    </w:p>
    <w:p w14:paraId="277D7D38">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7、淮北市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2023年政府性基金预算支出表</w:t>
      </w:r>
    </w:p>
    <w:p w14:paraId="6B4AB8E1">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8、淮北市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2023年国有资本经营预算支出表</w:t>
      </w:r>
    </w:p>
    <w:p w14:paraId="3CB4F1C4">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9、淮北市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2023年项目支出表</w:t>
      </w:r>
    </w:p>
    <w:p w14:paraId="1FBE72AF">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10、淮北市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2023年政府采购支出表</w:t>
      </w:r>
    </w:p>
    <w:p w14:paraId="2FC29078">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11、淮北市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2023年政府购买服务支出表</w:t>
      </w:r>
    </w:p>
    <w:p w14:paraId="07CB0DD3">
      <w:pPr>
        <w:pStyle w:val="6"/>
        <w:adjustRightInd w:val="0"/>
        <w:snapToGrid w:val="0"/>
        <w:spacing w:line="40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第三部分 2023年单位预算情况说明</w:t>
      </w:r>
    </w:p>
    <w:p w14:paraId="54E001EC">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1、关于2023年收支总表的说明</w:t>
      </w:r>
    </w:p>
    <w:p w14:paraId="58E44FBB">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2、关于2023年收入总表的说明</w:t>
      </w:r>
    </w:p>
    <w:p w14:paraId="70E8A4B7">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3、关于2023年支出总表的说明</w:t>
      </w:r>
    </w:p>
    <w:p w14:paraId="60BEE80A">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4、关于2023年财政拨款收支总表的说明</w:t>
      </w:r>
    </w:p>
    <w:p w14:paraId="12D00C8E">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5、关于2023年一般公共预算支出表的说明</w:t>
      </w:r>
    </w:p>
    <w:p w14:paraId="2B445151">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6、关于2023年一般公共预算基本支出表的说明</w:t>
      </w:r>
    </w:p>
    <w:p w14:paraId="0D19E37A">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7、关于2023年政府性基金预算支出表的说明</w:t>
      </w:r>
    </w:p>
    <w:p w14:paraId="3D4405F3">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8、关于2023年国有资本经营预算支出表的说明</w:t>
      </w:r>
    </w:p>
    <w:p w14:paraId="62CD1C83">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9、关于2023年项目支出表的说明</w:t>
      </w:r>
    </w:p>
    <w:p w14:paraId="4A955F5D">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10、关于2023年政府采购支出表的说明</w:t>
      </w:r>
    </w:p>
    <w:p w14:paraId="2E020155">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11、关于2023年政府购买服务支出表的说明</w:t>
      </w:r>
    </w:p>
    <w:p w14:paraId="6612D6E4">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12、其他重要事项情况说明</w:t>
      </w:r>
    </w:p>
    <w:p w14:paraId="6183242D">
      <w:pPr>
        <w:pStyle w:val="6"/>
        <w:adjustRightInd w:val="0"/>
        <w:snapToGrid w:val="0"/>
        <w:spacing w:line="40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第四部分 名词解释</w:t>
      </w:r>
    </w:p>
    <w:p w14:paraId="61C27E1B">
      <w:pPr>
        <w:pStyle w:val="6"/>
        <w:adjustRightInd w:val="0"/>
        <w:snapToGrid w:val="0"/>
        <w:spacing w:line="40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第五部分 其它公开事项</w:t>
      </w:r>
    </w:p>
    <w:p w14:paraId="2F3A3148">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2023年部门预算纳入绩效考评项目表</w:t>
      </w:r>
    </w:p>
    <w:p w14:paraId="2FC1A67D">
      <w:pPr>
        <w:pStyle w:val="6"/>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2、淮北市</w:t>
      </w:r>
      <w:r>
        <w:rPr>
          <w:rFonts w:hint="eastAsia" w:ascii="TimesNewRoman" w:hAnsi="TimesNewRoman" w:eastAsia="仿宋_GB2312" w:cs="TimesNewRoman"/>
          <w:bCs/>
          <w:color w:val="auto"/>
          <w:sz w:val="32"/>
          <w:szCs w:val="32"/>
          <w:lang w:eastAsia="zh-CN"/>
        </w:rPr>
        <w:t>水利工程质量监督站</w:t>
      </w:r>
      <w:r>
        <w:rPr>
          <w:rFonts w:hint="eastAsia" w:ascii="TimesNewRoman" w:hAnsi="TimesNewRoman" w:eastAsia="仿宋_GB2312" w:cs="TimesNewRoman"/>
          <w:bCs/>
          <w:color w:val="auto"/>
          <w:sz w:val="32"/>
          <w:szCs w:val="32"/>
        </w:rPr>
        <w:t>2023年部门预算专项资金管理清单（专栏公开）</w:t>
      </w:r>
    </w:p>
    <w:p w14:paraId="423F89E1">
      <w:pPr>
        <w:pStyle w:val="6"/>
        <w:adjustRightInd w:val="0"/>
        <w:snapToGrid w:val="0"/>
        <w:spacing w:line="400" w:lineRule="exact"/>
        <w:ind w:firstLine="800" w:firstLineChars="250"/>
        <w:rPr>
          <w:rFonts w:ascii="TimesNewRoman" w:hAnsi="TimesNewRoman" w:eastAsia="仿宋_GB2312" w:cs="TimesNewRoman"/>
          <w:bCs/>
          <w:color w:val="auto"/>
          <w:sz w:val="32"/>
          <w:szCs w:val="32"/>
        </w:rPr>
      </w:pPr>
    </w:p>
    <w:p w14:paraId="133055A9">
      <w:pPr>
        <w:pStyle w:val="6"/>
        <w:adjustRightInd w:val="0"/>
        <w:snapToGrid w:val="0"/>
        <w:spacing w:line="560" w:lineRule="exact"/>
        <w:jc w:val="center"/>
        <w:rPr>
          <w:rFonts w:hint="eastAsia" w:ascii="TimesNewRoman" w:hAnsi="TimesNewRoman" w:eastAsia="黑体" w:cs="TimesNewRoman"/>
          <w:bCs/>
          <w:color w:val="auto"/>
          <w:sz w:val="36"/>
          <w:szCs w:val="36"/>
        </w:rPr>
      </w:pPr>
    </w:p>
    <w:p w14:paraId="31F0311C">
      <w:pPr>
        <w:pStyle w:val="6"/>
        <w:adjustRightInd w:val="0"/>
        <w:snapToGrid w:val="0"/>
        <w:spacing w:line="560" w:lineRule="exact"/>
        <w:jc w:val="center"/>
        <w:rPr>
          <w:rFonts w:hint="eastAsia" w:ascii="TimesNewRoman" w:hAnsi="TimesNewRoman" w:eastAsia="黑体" w:cs="TimesNewRoman"/>
          <w:bCs/>
          <w:color w:val="auto"/>
          <w:sz w:val="36"/>
          <w:szCs w:val="36"/>
        </w:rPr>
      </w:pPr>
      <w:r>
        <w:rPr>
          <w:rFonts w:hint="eastAsia" w:ascii="TimesNewRoman" w:hAnsi="TimesNewRoman" w:eastAsia="黑体" w:cs="TimesNewRoman"/>
          <w:bCs/>
          <w:color w:val="auto"/>
          <w:sz w:val="36"/>
          <w:szCs w:val="36"/>
        </w:rPr>
        <w:t>第一部分 单位概况</w:t>
      </w:r>
    </w:p>
    <w:p w14:paraId="77BFD34C">
      <w:pPr>
        <w:rPr>
          <w:color w:val="auto"/>
        </w:rPr>
      </w:pPr>
    </w:p>
    <w:p w14:paraId="422D6789">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一、主要职责</w:t>
      </w:r>
    </w:p>
    <w:p w14:paraId="7EDB1C60">
      <w:pPr>
        <w:spacing w:line="580" w:lineRule="exact"/>
        <w:ind w:firstLine="640" w:firstLineChars="200"/>
        <w:rPr>
          <w:rFonts w:ascii="仿宋_GB2312" w:hAnsi="宋体" w:eastAsia="仿宋_GB2312" w:cs="宋体"/>
          <w:bCs/>
          <w:color w:val="auto"/>
          <w:sz w:val="32"/>
          <w:szCs w:val="32"/>
        </w:rPr>
      </w:pPr>
      <w:r>
        <w:rPr>
          <w:rFonts w:hint="eastAsia" w:ascii="TimesNewRoman" w:hAnsi="TimesNewRoman" w:eastAsia="仿宋_GB2312" w:cs="TimesNewRoman"/>
          <w:bCs/>
          <w:color w:val="auto"/>
          <w:sz w:val="32"/>
          <w:szCs w:val="32"/>
        </w:rPr>
        <w:t>（一）</w:t>
      </w:r>
      <w:r>
        <w:rPr>
          <w:rFonts w:hint="eastAsia" w:ascii="仿宋_GB2312" w:hAnsi="宋体" w:eastAsia="仿宋_GB2312" w:cs="宋体"/>
          <w:bCs/>
          <w:color w:val="auto"/>
          <w:sz w:val="32"/>
          <w:szCs w:val="32"/>
        </w:rPr>
        <w:t>对质量责任主体贯彻执行法律法规、技术标准和工程建设强制性标准情况进行监督；</w:t>
      </w:r>
    </w:p>
    <w:p w14:paraId="16E1ED74">
      <w:pPr>
        <w:spacing w:line="580" w:lineRule="exact"/>
        <w:ind w:firstLine="640" w:firstLineChars="200"/>
        <w:rPr>
          <w:rFonts w:ascii="仿宋_GB2312" w:hAnsi="宋体" w:eastAsia="仿宋_GB2312" w:cs="宋体"/>
          <w:bCs/>
          <w:color w:val="auto"/>
          <w:sz w:val="32"/>
          <w:szCs w:val="32"/>
        </w:rPr>
      </w:pPr>
      <w:r>
        <w:rPr>
          <w:rFonts w:hint="eastAsia" w:ascii="仿宋_GB2312" w:hAnsi="宋体" w:eastAsia="仿宋_GB2312" w:cs="宋体"/>
          <w:bCs/>
          <w:color w:val="auto"/>
          <w:sz w:val="32"/>
          <w:szCs w:val="32"/>
          <w:lang w:eastAsia="zh-CN"/>
        </w:rPr>
        <w:t>（二）</w:t>
      </w:r>
      <w:r>
        <w:rPr>
          <w:rFonts w:hint="eastAsia" w:ascii="仿宋_GB2312" w:hAnsi="宋体" w:eastAsia="仿宋_GB2312" w:cs="宋体"/>
          <w:bCs/>
          <w:color w:val="auto"/>
          <w:sz w:val="32"/>
          <w:szCs w:val="32"/>
        </w:rPr>
        <w:t>复核各质量责任主体的资质及其派驻现场的项目负责人、有关从业人员的资格，对质量责任主体质量管理体系建立、运行和质量行为进行监督；</w:t>
      </w:r>
    </w:p>
    <w:p w14:paraId="67BD2823">
      <w:pPr>
        <w:spacing w:line="580" w:lineRule="exact"/>
        <w:ind w:firstLine="640" w:firstLineChars="200"/>
        <w:rPr>
          <w:rFonts w:ascii="仿宋_GB2312" w:hAnsi="宋体" w:eastAsia="仿宋_GB2312" w:cs="宋体"/>
          <w:bCs/>
          <w:color w:val="auto"/>
          <w:sz w:val="32"/>
          <w:szCs w:val="32"/>
        </w:rPr>
      </w:pPr>
      <w:r>
        <w:rPr>
          <w:rFonts w:hint="eastAsia" w:ascii="仿宋_GB2312" w:hAnsi="宋体" w:eastAsia="仿宋_GB2312" w:cs="宋体"/>
          <w:bCs/>
          <w:color w:val="auto"/>
          <w:sz w:val="32"/>
          <w:szCs w:val="32"/>
          <w:lang w:eastAsia="zh-CN"/>
        </w:rPr>
        <w:t>（三）</w:t>
      </w:r>
      <w:r>
        <w:rPr>
          <w:rFonts w:hint="eastAsia" w:ascii="仿宋_GB2312" w:hAnsi="宋体" w:eastAsia="仿宋_GB2312" w:cs="宋体"/>
          <w:bCs/>
          <w:color w:val="auto"/>
          <w:sz w:val="32"/>
          <w:szCs w:val="32"/>
        </w:rPr>
        <w:t>审核项目法人委托的第三方检测方案；</w:t>
      </w:r>
    </w:p>
    <w:p w14:paraId="69780F1B">
      <w:pPr>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（四）</w:t>
      </w:r>
      <w:r>
        <w:rPr>
          <w:rFonts w:hint="eastAsia" w:ascii="仿宋_GB2312" w:hAnsi="宋体" w:eastAsia="仿宋_GB2312" w:cs="宋体"/>
          <w:bCs/>
          <w:color w:val="auto"/>
          <w:sz w:val="32"/>
          <w:szCs w:val="32"/>
        </w:rPr>
        <w:t>对工程实体质量进行抽查监督</w:t>
      </w:r>
      <w:r>
        <w:rPr>
          <w:rFonts w:hint="eastAsia" w:ascii="仿宋_GB2312" w:hAnsi="宋体" w:eastAsia="仿宋_GB2312" w:cs="宋体"/>
          <w:color w:val="auto"/>
          <w:sz w:val="32"/>
          <w:szCs w:val="32"/>
        </w:rPr>
        <w:t>；</w:t>
      </w:r>
    </w:p>
    <w:p w14:paraId="3E801278">
      <w:pPr>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bCs/>
          <w:color w:val="auto"/>
          <w:sz w:val="32"/>
          <w:szCs w:val="32"/>
          <w:lang w:eastAsia="zh-CN"/>
        </w:rPr>
        <w:t>（五）</w:t>
      </w:r>
      <w:r>
        <w:rPr>
          <w:rFonts w:hint="eastAsia" w:ascii="仿宋_GB2312" w:hAnsi="宋体" w:eastAsia="仿宋_GB2312" w:cs="宋体"/>
          <w:bCs/>
          <w:color w:val="auto"/>
          <w:sz w:val="32"/>
          <w:szCs w:val="32"/>
        </w:rPr>
        <w:t>按规定列席法人验收会议，对法人验收工作进行监督，受理单位工程、分部工程、重要隐蔽（关键部位）单元工程质量结论备案，核备工程项目质量等级；</w:t>
      </w:r>
    </w:p>
    <w:p w14:paraId="37AF156E">
      <w:pPr>
        <w:spacing w:line="580" w:lineRule="exact"/>
        <w:ind w:firstLine="640" w:firstLineChars="200"/>
        <w:rPr>
          <w:rFonts w:ascii="仿宋_GB2312" w:hAnsi="宋体" w:eastAsia="仿宋_GB2312" w:cs="宋体"/>
          <w:bCs/>
          <w:color w:val="auto"/>
          <w:sz w:val="32"/>
          <w:szCs w:val="32"/>
        </w:rPr>
      </w:pPr>
      <w:r>
        <w:rPr>
          <w:rFonts w:hint="eastAsia" w:ascii="仿宋_GB2312" w:hAnsi="宋体" w:eastAsia="仿宋_GB2312" w:cs="宋体"/>
          <w:color w:val="auto"/>
          <w:kern w:val="0"/>
          <w:sz w:val="32"/>
          <w:szCs w:val="32"/>
          <w:lang w:eastAsia="zh-CN"/>
        </w:rPr>
        <w:t>（六）</w:t>
      </w:r>
      <w:r>
        <w:rPr>
          <w:rFonts w:hint="eastAsia" w:ascii="仿宋_GB2312" w:hAnsi="宋体" w:eastAsia="仿宋_GB2312" w:cs="宋体"/>
          <w:color w:val="auto"/>
          <w:kern w:val="0"/>
          <w:sz w:val="32"/>
          <w:szCs w:val="32"/>
        </w:rPr>
        <w:t>核定工程项目质量等级；</w:t>
      </w:r>
    </w:p>
    <w:p w14:paraId="1619D9DF">
      <w:pPr>
        <w:spacing w:line="580" w:lineRule="exact"/>
        <w:ind w:firstLine="640" w:firstLineChars="200"/>
        <w:rPr>
          <w:rFonts w:ascii="仿宋_GB2312" w:hAnsi="宋体" w:eastAsia="仿宋_GB2312" w:cs="宋体"/>
          <w:bCs/>
          <w:color w:val="auto"/>
          <w:sz w:val="32"/>
          <w:szCs w:val="32"/>
        </w:rPr>
      </w:pPr>
      <w:r>
        <w:rPr>
          <w:rFonts w:hint="eastAsia" w:ascii="仿宋_GB2312" w:hAnsi="宋体" w:eastAsia="仿宋_GB2312" w:cs="宋体"/>
          <w:bCs/>
          <w:color w:val="auto"/>
          <w:sz w:val="32"/>
          <w:szCs w:val="32"/>
          <w:lang w:eastAsia="zh-CN"/>
        </w:rPr>
        <w:t>（七）</w:t>
      </w:r>
      <w:r>
        <w:rPr>
          <w:rFonts w:hint="eastAsia" w:ascii="仿宋_GB2312" w:hAnsi="宋体" w:eastAsia="仿宋_GB2312" w:cs="宋体"/>
          <w:color w:val="auto"/>
          <w:sz w:val="32"/>
          <w:szCs w:val="32"/>
        </w:rPr>
        <w:t>受理工程质量缺陷备案，参与工程质量事故的调查处理；</w:t>
      </w:r>
    </w:p>
    <w:p w14:paraId="54ED1A67">
      <w:pPr>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bCs/>
          <w:color w:val="auto"/>
          <w:sz w:val="32"/>
          <w:szCs w:val="32"/>
          <w:lang w:eastAsia="zh-CN"/>
        </w:rPr>
        <w:t>（八）</w:t>
      </w:r>
      <w:r>
        <w:rPr>
          <w:rFonts w:hint="eastAsia" w:ascii="仿宋_GB2312" w:hAnsi="宋体" w:eastAsia="仿宋_GB2312" w:cs="宋体"/>
          <w:bCs/>
          <w:color w:val="auto"/>
          <w:sz w:val="32"/>
          <w:szCs w:val="32"/>
        </w:rPr>
        <w:t>参加政府验收，</w:t>
      </w:r>
      <w:r>
        <w:rPr>
          <w:rFonts w:hint="eastAsia" w:ascii="仿宋_GB2312" w:hAnsi="宋体" w:eastAsia="仿宋_GB2312" w:cs="宋体"/>
          <w:color w:val="auto"/>
          <w:kern w:val="0"/>
          <w:sz w:val="32"/>
          <w:szCs w:val="32"/>
        </w:rPr>
        <w:t>提交工程质量评价意见和工程质量监督报告</w:t>
      </w:r>
      <w:r>
        <w:rPr>
          <w:rFonts w:hint="eastAsia" w:ascii="仿宋_GB2312" w:hAnsi="宋体" w:eastAsia="仿宋_GB2312" w:cs="宋体"/>
          <w:bCs/>
          <w:color w:val="auto"/>
          <w:sz w:val="32"/>
          <w:szCs w:val="32"/>
        </w:rPr>
        <w:t>。</w:t>
      </w:r>
    </w:p>
    <w:p w14:paraId="7820F7EA">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二、单位预算构成</w:t>
      </w:r>
    </w:p>
    <w:p w14:paraId="6BAD3352">
      <w:pPr>
        <w:pStyle w:val="6"/>
        <w:adjustRightInd w:val="0"/>
        <w:snapToGrid w:val="0"/>
        <w:spacing w:before="0" w:beforeLines="0" w:beforeAutospacing="0" w:after="0" w:afterLines="0" w:afterAutospacing="0" w:line="360" w:lineRule="auto"/>
        <w:ind w:firstLine="627" w:firstLineChars="196"/>
        <w:jc w:val="both"/>
        <w:rPr>
          <w:rFonts w:hint="eastAsia" w:ascii="仿宋_GB2312" w:hAnsi="仿宋" w:eastAsia="仿宋_GB2312"/>
          <w:color w:val="auto"/>
          <w:sz w:val="32"/>
          <w:szCs w:val="32"/>
        </w:rPr>
      </w:pPr>
      <w:r>
        <w:rPr>
          <w:rFonts w:hint="eastAsia" w:ascii="仿宋_GB2312" w:hAnsi="仿宋" w:eastAsia="仿宋_GB2312"/>
          <w:color w:val="auto"/>
          <w:sz w:val="32"/>
          <w:szCs w:val="32"/>
        </w:rPr>
        <w:t>从预算单位构成看，</w:t>
      </w:r>
      <w:r>
        <w:rPr>
          <w:rFonts w:hint="eastAsia" w:ascii="仿宋_GB2312" w:hAnsi="仿宋" w:eastAsia="仿宋_GB2312" w:cs="仿宋"/>
          <w:bCs/>
          <w:color w:val="auto"/>
          <w:sz w:val="32"/>
          <w:szCs w:val="32"/>
        </w:rPr>
        <w:t>淮北市</w:t>
      </w:r>
      <w:r>
        <w:rPr>
          <w:rFonts w:hint="eastAsia" w:ascii="仿宋_GB2312" w:hAnsi="仿宋" w:eastAsia="仿宋_GB2312" w:cs="仿宋"/>
          <w:bCs/>
          <w:color w:val="auto"/>
          <w:sz w:val="32"/>
          <w:szCs w:val="32"/>
          <w:lang w:eastAsia="zh-CN"/>
        </w:rPr>
        <w:t>水利工程质量监督站</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年度纳入</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预算编制范围的单位共</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个，</w:t>
      </w:r>
      <w:r>
        <w:rPr>
          <w:rFonts w:hint="eastAsia" w:ascii="仿宋_GB2312" w:hAnsi="仿宋" w:eastAsia="仿宋_GB2312"/>
          <w:color w:val="auto"/>
          <w:sz w:val="32"/>
          <w:szCs w:val="32"/>
          <w:lang w:eastAsia="zh-CN"/>
        </w:rPr>
        <w:t>无下属单位，</w:t>
      </w:r>
      <w:r>
        <w:rPr>
          <w:rFonts w:hint="eastAsia" w:ascii="仿宋_GB2312" w:hAnsi="仿宋" w:eastAsia="仿宋_GB2312"/>
          <w:color w:val="auto"/>
          <w:sz w:val="32"/>
          <w:szCs w:val="32"/>
        </w:rPr>
        <w:t>具体情况见下表。</w:t>
      </w:r>
    </w:p>
    <w:tbl>
      <w:tblPr>
        <w:tblStyle w:val="8"/>
        <w:tblW w:w="8540" w:type="dxa"/>
        <w:jc w:val="center"/>
        <w:tblLayout w:type="fixed"/>
        <w:tblCellMar>
          <w:top w:w="0" w:type="dxa"/>
          <w:left w:w="0" w:type="dxa"/>
          <w:bottom w:w="0" w:type="dxa"/>
          <w:right w:w="0" w:type="dxa"/>
        </w:tblCellMar>
      </w:tblPr>
      <w:tblGrid>
        <w:gridCol w:w="854"/>
        <w:gridCol w:w="3416"/>
        <w:gridCol w:w="4270"/>
      </w:tblGrid>
      <w:tr w14:paraId="0BE8FE42">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5CA17A">
            <w:pPr>
              <w:adjustRightInd w:val="0"/>
              <w:snapToGrid w:val="0"/>
              <w:spacing w:line="560" w:lineRule="exact"/>
              <w:jc w:val="center"/>
              <w:rPr>
                <w:rFonts w:ascii="TimesNewRoman" w:hAnsi="TimesNewRoman" w:cs="TimesNewRoman"/>
                <w:color w:val="auto"/>
                <w:sz w:val="24"/>
              </w:rPr>
            </w:pPr>
            <w:r>
              <w:rPr>
                <w:rFonts w:ascii="TimesNewRoman" w:hAnsi="TimesNewRoman" w:cs="TimesNewRoman"/>
                <w:color w:val="auto"/>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75B3BD">
            <w:pPr>
              <w:adjustRightInd w:val="0"/>
              <w:snapToGrid w:val="0"/>
              <w:spacing w:line="560" w:lineRule="exact"/>
              <w:jc w:val="center"/>
              <w:rPr>
                <w:rFonts w:ascii="TimesNewRoman" w:hAnsi="TimesNewRoman" w:cs="TimesNewRoman"/>
                <w:color w:val="auto"/>
                <w:sz w:val="24"/>
              </w:rPr>
            </w:pPr>
            <w:r>
              <w:rPr>
                <w:rFonts w:ascii="TimesNewRoman" w:hAnsi="TimesNewRoman" w:cs="TimesNewRoman"/>
                <w:color w:val="auto"/>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3F3CB98B">
            <w:pPr>
              <w:adjustRightInd w:val="0"/>
              <w:snapToGrid w:val="0"/>
              <w:spacing w:line="560" w:lineRule="exact"/>
              <w:jc w:val="center"/>
              <w:rPr>
                <w:rFonts w:ascii="TimesNewRoman" w:hAnsi="TimesNewRoman" w:cs="TimesNewRoman"/>
                <w:color w:val="auto"/>
                <w:sz w:val="24"/>
              </w:rPr>
            </w:pPr>
            <w:r>
              <w:rPr>
                <w:rFonts w:ascii="TimesNewRoman" w:hAnsi="TimesNewRoman" w:cs="TimesNewRoman"/>
                <w:color w:val="auto"/>
                <w:sz w:val="24"/>
              </w:rPr>
              <w:t>单位性质</w:t>
            </w:r>
          </w:p>
        </w:tc>
      </w:tr>
      <w:tr w14:paraId="269330D4">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4BDAF7">
            <w:pPr>
              <w:adjustRightInd w:val="0"/>
              <w:snapToGrid w:val="0"/>
              <w:spacing w:line="560" w:lineRule="exact"/>
              <w:jc w:val="center"/>
              <w:rPr>
                <w:rFonts w:ascii="TimesNewRoman" w:hAnsi="TimesNewRoman" w:cs="TimesNewRoman"/>
                <w:color w:val="auto"/>
                <w:sz w:val="24"/>
              </w:rPr>
            </w:pPr>
            <w:r>
              <w:rPr>
                <w:rFonts w:ascii="TimesNewRoman" w:hAnsi="TimesNewRoman" w:cs="TimesNewRoman"/>
                <w:color w:val="auto"/>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9A183B">
            <w:pPr>
              <w:adjustRightInd w:val="0"/>
              <w:snapToGrid w:val="0"/>
              <w:spacing w:line="560" w:lineRule="exact"/>
              <w:jc w:val="center"/>
              <w:rPr>
                <w:rFonts w:ascii="TimesNewRoman" w:hAnsi="TimesNewRoman" w:cs="TimesNewRoman"/>
                <w:color w:val="auto"/>
                <w:sz w:val="24"/>
                <w:u w:val="single"/>
              </w:rPr>
            </w:pPr>
            <w:r>
              <w:rPr>
                <w:rFonts w:hint="eastAsia" w:ascii="仿宋_GB2312" w:hAnsi="仿宋" w:eastAsia="仿宋_GB2312" w:cs="仿宋"/>
                <w:bCs/>
                <w:color w:val="auto"/>
                <w:sz w:val="24"/>
                <w:lang w:eastAsia="zh-CN"/>
              </w:rPr>
              <w:t>淮北市水利工程质量监督站</w:t>
            </w:r>
          </w:p>
        </w:tc>
        <w:tc>
          <w:tcPr>
            <w:tcW w:w="4270" w:type="dxa"/>
            <w:tcBorders>
              <w:top w:val="nil"/>
              <w:left w:val="nil"/>
              <w:bottom w:val="single" w:color="auto" w:sz="8" w:space="0"/>
              <w:right w:val="single" w:color="auto" w:sz="8" w:space="0"/>
            </w:tcBorders>
            <w:shd w:val="clear" w:color="auto" w:fill="FFFFFF"/>
            <w:vAlign w:val="center"/>
          </w:tcPr>
          <w:p w14:paraId="47FC5B31">
            <w:pPr>
              <w:adjustRightInd w:val="0"/>
              <w:snapToGrid w:val="0"/>
              <w:spacing w:line="560" w:lineRule="exact"/>
              <w:jc w:val="center"/>
              <w:rPr>
                <w:rFonts w:hint="eastAsia" w:ascii="TimesNewRoman" w:hAnsi="TimesNewRoman" w:cs="TimesNewRoman" w:eastAsiaTheme="minorEastAsia"/>
                <w:color w:val="auto"/>
                <w:sz w:val="24"/>
                <w:u w:val="single"/>
                <w:lang w:val="en-US" w:eastAsia="zh-CN"/>
              </w:rPr>
            </w:pPr>
            <w:r>
              <w:rPr>
                <w:rFonts w:ascii="TimesNewRoman" w:hAnsi="TimesNewRoman" w:cs="TimesNewRoman"/>
                <w:bCs/>
                <w:color w:val="auto"/>
                <w:sz w:val="24"/>
              </w:rPr>
              <w:t>公益一类事业单位</w:t>
            </w:r>
          </w:p>
        </w:tc>
      </w:tr>
      <w:tr w14:paraId="1D9AA455">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F31DE9">
            <w:pPr>
              <w:adjustRightInd w:val="0"/>
              <w:snapToGrid w:val="0"/>
              <w:spacing w:line="560" w:lineRule="exact"/>
              <w:jc w:val="center"/>
              <w:rPr>
                <w:rFonts w:ascii="TimesNewRoman" w:hAnsi="TimesNewRoman" w:cs="TimesNewRoman"/>
                <w:color w:val="auto"/>
                <w:sz w:val="24"/>
              </w:rPr>
            </w:pPr>
            <w:r>
              <w:rPr>
                <w:rFonts w:ascii="TimesNewRoman" w:hAnsi="TimesNewRoman" w:cs="TimesNewRoman"/>
                <w:color w:val="auto"/>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5BEA75">
            <w:pPr>
              <w:adjustRightInd w:val="0"/>
              <w:snapToGrid w:val="0"/>
              <w:spacing w:line="560" w:lineRule="exact"/>
              <w:jc w:val="center"/>
              <w:rPr>
                <w:rFonts w:ascii="TimesNewRoman" w:hAnsi="TimesNewRoman" w:cs="TimesNewRoman"/>
                <w:color w:val="auto"/>
                <w:sz w:val="24"/>
                <w:u w:val="single"/>
              </w:rPr>
            </w:pPr>
          </w:p>
        </w:tc>
        <w:tc>
          <w:tcPr>
            <w:tcW w:w="4270" w:type="dxa"/>
            <w:tcBorders>
              <w:top w:val="nil"/>
              <w:left w:val="nil"/>
              <w:bottom w:val="single" w:color="auto" w:sz="8" w:space="0"/>
              <w:right w:val="single" w:color="auto" w:sz="8" w:space="0"/>
            </w:tcBorders>
            <w:shd w:val="clear" w:color="auto" w:fill="FFFFFF"/>
            <w:vAlign w:val="center"/>
          </w:tcPr>
          <w:p w14:paraId="5E0BF8CA">
            <w:pPr>
              <w:adjustRightInd w:val="0"/>
              <w:snapToGrid w:val="0"/>
              <w:spacing w:line="560" w:lineRule="exact"/>
              <w:jc w:val="center"/>
              <w:rPr>
                <w:rFonts w:ascii="TimesNewRoman" w:hAnsi="TimesNewRoman" w:cs="TimesNewRoman"/>
                <w:color w:val="auto"/>
                <w:sz w:val="24"/>
                <w:u w:val="single"/>
              </w:rPr>
            </w:pPr>
          </w:p>
        </w:tc>
      </w:tr>
      <w:tr w14:paraId="0BFA7561">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3923E2">
            <w:pPr>
              <w:adjustRightInd w:val="0"/>
              <w:snapToGrid w:val="0"/>
              <w:spacing w:line="560" w:lineRule="exact"/>
              <w:jc w:val="center"/>
              <w:rPr>
                <w:rFonts w:ascii="TimesNewRoman" w:hAnsi="TimesNewRoman" w:cs="TimesNewRoman"/>
                <w:color w:val="auto"/>
                <w:sz w:val="24"/>
              </w:rPr>
            </w:pPr>
            <w:r>
              <w:rPr>
                <w:rFonts w:ascii="TimesNewRoman" w:hAnsi="TimesNewRoman" w:cs="TimesNewRoman"/>
                <w:color w:val="auto"/>
                <w:sz w:val="24"/>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FAF67A">
            <w:pPr>
              <w:adjustRightInd w:val="0"/>
              <w:snapToGrid w:val="0"/>
              <w:spacing w:line="560" w:lineRule="exact"/>
              <w:rPr>
                <w:rFonts w:ascii="TimesNewRoman" w:hAnsi="TimesNewRoman" w:cs="TimesNewRoman"/>
                <w:color w:val="auto"/>
                <w:sz w:val="24"/>
                <w:u w:val="single"/>
              </w:rPr>
            </w:pPr>
          </w:p>
        </w:tc>
        <w:tc>
          <w:tcPr>
            <w:tcW w:w="4270" w:type="dxa"/>
            <w:tcBorders>
              <w:top w:val="nil"/>
              <w:left w:val="nil"/>
              <w:bottom w:val="single" w:color="auto" w:sz="8" w:space="0"/>
              <w:right w:val="single" w:color="auto" w:sz="8" w:space="0"/>
            </w:tcBorders>
            <w:shd w:val="clear" w:color="auto" w:fill="FFFFFF"/>
            <w:vAlign w:val="center"/>
          </w:tcPr>
          <w:p w14:paraId="6CA6824F">
            <w:pPr>
              <w:adjustRightInd w:val="0"/>
              <w:snapToGrid w:val="0"/>
              <w:spacing w:line="560" w:lineRule="exact"/>
              <w:jc w:val="center"/>
              <w:rPr>
                <w:rFonts w:ascii="TimesNewRoman" w:hAnsi="TimesNewRoman" w:cs="TimesNewRoman"/>
                <w:color w:val="auto"/>
                <w:sz w:val="24"/>
                <w:u w:val="single"/>
              </w:rPr>
            </w:pPr>
          </w:p>
        </w:tc>
      </w:tr>
    </w:tbl>
    <w:p w14:paraId="013D1825">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三、2023年度主要工作任务</w:t>
      </w:r>
    </w:p>
    <w:p w14:paraId="7B3381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2023年，淮北市水利工程质量监督站将继续按照省、市任务要求，坚决落实局工作安排，围绕局工作大局，充分发挥主观能动性，踏实做好各项工作，确保圆满完成年度各项任务。重点做好以下几个方面工作：</w:t>
      </w:r>
    </w:p>
    <w:p w14:paraId="73710F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（一）重点做好全市重点工程</w:t>
      </w:r>
      <w:r>
        <w:rPr>
          <w:rFonts w:hint="eastAsia" w:ascii="仿宋_GB2312" w:hAnsi="仿宋_GB2312" w:eastAsia="仿宋_GB2312" w:cs="仿宋_GB2312"/>
          <w:b w:val="0"/>
          <w:bCs w:val="0"/>
          <w:color w:val="auto"/>
          <w:sz w:val="32"/>
          <w:szCs w:val="32"/>
          <w:lang w:eastAsia="zh-CN"/>
        </w:rPr>
        <w:t>质量监管</w:t>
      </w:r>
    </w:p>
    <w:p w14:paraId="52F207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Style w:val="10"/>
          <w:rFonts w:hint="eastAsia" w:ascii="仿宋_GB2312" w:hAnsi="仿宋_GB2312" w:eastAsia="仿宋_GB2312" w:cs="仿宋_GB2312"/>
          <w:b w:val="0"/>
          <w:bCs w:val="0"/>
          <w:i w:val="0"/>
          <w:caps w:val="0"/>
          <w:color w:val="auto"/>
          <w:spacing w:val="0"/>
          <w:w w:val="100"/>
          <w:kern w:val="2"/>
          <w:sz w:val="32"/>
          <w:szCs w:val="32"/>
          <w:lang w:val="en-US" w:eastAsia="zh-CN" w:bidi="ar-SA"/>
        </w:rPr>
        <w:t>淮北市杜集区龙岱河及支流治理</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b w:val="0"/>
          <w:i w:val="0"/>
          <w:caps w:val="0"/>
          <w:color w:val="auto"/>
          <w:spacing w:val="0"/>
          <w:w w:val="100"/>
          <w:sz w:val="32"/>
          <w:szCs w:val="32"/>
          <w:lang w:eastAsia="zh-CN"/>
        </w:rPr>
        <w:t>烈山区</w:t>
      </w:r>
      <w:r>
        <w:rPr>
          <w:rFonts w:hint="eastAsia" w:ascii="仿宋_GB2312" w:hAnsi="仿宋_GB2312" w:eastAsia="仿宋_GB2312" w:cs="仿宋_GB2312"/>
          <w:b w:val="0"/>
          <w:i w:val="0"/>
          <w:caps w:val="0"/>
          <w:color w:val="auto"/>
          <w:spacing w:val="0"/>
          <w:w w:val="100"/>
          <w:sz w:val="32"/>
          <w:szCs w:val="32"/>
          <w:lang w:val="en-US" w:eastAsia="zh-CN"/>
        </w:rPr>
        <w:t>新北沱河治理</w:t>
      </w:r>
      <w:r>
        <w:rPr>
          <w:rFonts w:hint="eastAsia" w:ascii="仿宋_GB2312" w:hAnsi="仿宋_GB2312" w:eastAsia="仿宋_GB2312" w:cs="仿宋_GB2312"/>
          <w:color w:val="auto"/>
          <w:sz w:val="32"/>
          <w:szCs w:val="32"/>
          <w:lang w:val="en-US" w:eastAsia="zh-CN"/>
        </w:rPr>
        <w:t>已经完工验收即将竣工验收，相山区王引河工程正在扫尾，濉溪县包浍河工程正在加快推进，烈山区王引河及烈山区王引河工程即将实施，濉溪县南坪闸等重点工程有望年度内开工建设。围绕加强全市重点水利工程质量提升，提供优质工程质量成效坚实保障，我站将根据实际，加强业务指导和现场监管频次。重要隐蔽单元工程、关键部位施工等重要施工节点到场进行监督，各重点项目根据工程实际计划监督人员进驻现场监督。同时，按照监督规程和相关规范、制度、文件，逐项完善完备各项工作，确保质量管理规范标准，工程质量优质优效，凸出重点水利工程的带头引领作用。</w:t>
      </w:r>
    </w:p>
    <w:p w14:paraId="5FD30F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（二）切实加大水利建设质量督查力度</w:t>
      </w:r>
    </w:p>
    <w:p w14:paraId="32CE7E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计划2023年4-5月、9-10月开展全市在建水利工程质量监督检查及质量飞检，7月开展全市水利工程质量工作考核并做好迎接省质量工作考核准备，持续开展好一单一书一案专项行动、水利工程质量提升等活动，适时开展质量检测单位专项检查，11-12月份按照省相关安排和工作实际进行总结提升。通过各项工作广泛深入开展，总结宣传优秀成效做法，建立健全各级各单位质量监管体系，引导规范水利工程各参建单位质量行为，为淮北由水利大市加快转变为水利强市做好水利工程质量保障。</w:t>
      </w:r>
    </w:p>
    <w:p w14:paraId="209938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（三）不断加强质量建设宣传教育培训</w:t>
      </w:r>
    </w:p>
    <w:p w14:paraId="733AE5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适时</w:t>
      </w:r>
      <w:r>
        <w:rPr>
          <w:rFonts w:hint="eastAsia" w:ascii="仿宋_GB2312" w:hAnsi="仿宋_GB2312" w:eastAsia="仿宋_GB2312" w:cs="仿宋_GB2312"/>
          <w:color w:val="auto"/>
          <w:sz w:val="32"/>
          <w:szCs w:val="32"/>
          <w:lang w:val="en" w:eastAsia="zh-CN"/>
        </w:rPr>
        <w:t>邀请省水利工程质量管理专家和相关专业技术人员，组织对</w:t>
      </w:r>
      <w:r>
        <w:rPr>
          <w:rFonts w:hint="eastAsia" w:ascii="仿宋_GB2312" w:hAnsi="仿宋_GB2312" w:eastAsia="仿宋_GB2312" w:cs="仿宋_GB2312"/>
          <w:color w:val="auto"/>
          <w:sz w:val="32"/>
          <w:szCs w:val="32"/>
          <w:lang w:val="en-US" w:eastAsia="zh-CN"/>
        </w:rPr>
        <w:t>各县、区水利局分管负责同志、质量监督机构、参建单位等相关人员</w:t>
      </w:r>
      <w:r>
        <w:rPr>
          <w:rFonts w:hint="eastAsia" w:ascii="仿宋_GB2312" w:hAnsi="仿宋_GB2312" w:eastAsia="仿宋_GB2312" w:cs="仿宋_GB2312"/>
          <w:color w:val="auto"/>
          <w:sz w:val="32"/>
          <w:szCs w:val="32"/>
          <w:lang w:val="en" w:eastAsia="zh-CN"/>
        </w:rPr>
        <w:t>开展质量管理业务培训，宣贯解读现行规章制度、施工监理行业技术标准等质量管理政策和要求。组织开展施工现场学习观摩，交流质量管理经验，推广先进设计、施工</w:t>
      </w:r>
      <w:r>
        <w:rPr>
          <w:rFonts w:hint="eastAsia" w:ascii="仿宋_GB2312" w:hAnsi="仿宋_GB2312" w:eastAsia="仿宋_GB2312" w:cs="仿宋_GB2312"/>
          <w:color w:val="auto"/>
          <w:sz w:val="32"/>
          <w:szCs w:val="32"/>
          <w:lang w:val="en-US" w:eastAsia="zh-CN"/>
        </w:rPr>
        <w:t>四新</w:t>
      </w:r>
      <w:r>
        <w:rPr>
          <w:rFonts w:hint="eastAsia" w:ascii="仿宋_GB2312" w:hAnsi="仿宋_GB2312" w:eastAsia="仿宋_GB2312" w:cs="仿宋_GB2312"/>
          <w:color w:val="auto"/>
          <w:sz w:val="32"/>
          <w:szCs w:val="32"/>
          <w:lang w:val="en" w:eastAsia="zh-CN"/>
        </w:rPr>
        <w:t>技术</w:t>
      </w:r>
      <w:r>
        <w:rPr>
          <w:rFonts w:hint="eastAsia" w:ascii="仿宋_GB2312" w:hAnsi="仿宋_GB2312" w:eastAsia="仿宋_GB2312" w:cs="仿宋_GB2312"/>
          <w:color w:val="auto"/>
          <w:sz w:val="32"/>
          <w:szCs w:val="32"/>
          <w:lang w:val="en-US" w:eastAsia="zh-CN"/>
        </w:rPr>
        <w:t>。通过宣传、教育活动提高质量监督人员履职能力，增强参建各方质量提升意识，营造质量创优浓厚氛围，</w:t>
      </w:r>
      <w:r>
        <w:rPr>
          <w:rFonts w:hint="eastAsia" w:ascii="仿宋_GB2312" w:hAnsi="仿宋_GB2312" w:eastAsia="仿宋_GB2312" w:cs="仿宋_GB2312"/>
          <w:color w:val="auto"/>
          <w:sz w:val="32"/>
          <w:szCs w:val="32"/>
          <w:lang w:val="en" w:eastAsia="zh-CN"/>
        </w:rPr>
        <w:t>促进全市水利工程建设管理持续规范、质量不断提升、效益显著发挥。</w:t>
      </w:r>
    </w:p>
    <w:p w14:paraId="4B06C0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（四）引导提升县级质量监管能力</w:t>
      </w:r>
    </w:p>
    <w:p w14:paraId="7F3FBD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近年来我市水利工程建设规模不断扩大，且多由县</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区级负责实施，加之水利建设质量管理要求不断提高，县</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区级质量监督机构人员较少、能力不强问题已难以保障对水利建设进行常态化、制度化、全覆盖的监督检查。结合年度各项工作开展，市级在加强监督检查的同时将更加注重对县级的业务指导，同时充分运用好质量监督信息管理系统，市对县级负责质量监督项目的各项工作进行跟踪指导，打造质量监管示范项目，以点带面，加快提升县级监管能力，保障在建工程质量监管成效。</w:t>
      </w:r>
    </w:p>
    <w:p w14:paraId="49E317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（五）积极开展水利优质工程评选</w:t>
      </w:r>
    </w:p>
    <w:p w14:paraId="2D20C3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淮北市“相王杯”优质工程奖评选办法》，继续开展好年度淮北市“相王杯”评选活动，鼓舞全市水利工程建设再掀高潮。鼓励、推荐、指导更多优质工程参与“相王杯”“禹王杯”“黄山杯”等水利优质工程奖评选活动，营造争先创优浓厚氛围，积极配合上级开展优质工程奖评选活动，做好相关保障和服务工作，力争更多水利优质工程再获嘉奖。</w:t>
      </w:r>
    </w:p>
    <w:p w14:paraId="1F6A27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（六）认真完成局交办其他中心工作</w:t>
      </w:r>
    </w:p>
    <w:p w14:paraId="30F6A5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NewRoman" w:hAnsi="TimesNewRoman" w:eastAsia="黑体" w:cs="TimesNewRoman"/>
          <w:bCs/>
          <w:color w:val="auto"/>
          <w:sz w:val="32"/>
          <w:szCs w:val="32"/>
        </w:rPr>
      </w:pPr>
      <w:r>
        <w:rPr>
          <w:rFonts w:hint="eastAsia" w:ascii="仿宋_GB2312" w:hAnsi="仿宋_GB2312" w:eastAsia="仿宋_GB2312" w:cs="仿宋_GB2312"/>
          <w:color w:val="auto"/>
          <w:sz w:val="32"/>
          <w:szCs w:val="32"/>
          <w:lang w:val="en-US" w:eastAsia="zh-CN"/>
        </w:rPr>
        <w:t>坚决贯彻落实局任务安排，加强协调配合，全力做好防汛抗旱、乡村振兴等有关方面重点工作。</w:t>
      </w:r>
    </w:p>
    <w:p w14:paraId="4FCBC007">
      <w:pPr>
        <w:rPr>
          <w:color w:val="auto"/>
        </w:rPr>
      </w:pPr>
    </w:p>
    <w:p w14:paraId="7A575315">
      <w:pPr>
        <w:pStyle w:val="6"/>
        <w:adjustRightInd w:val="0"/>
        <w:snapToGrid w:val="0"/>
        <w:spacing w:line="560" w:lineRule="exact"/>
        <w:ind w:firstLine="1080" w:firstLineChars="300"/>
        <w:jc w:val="left"/>
        <w:rPr>
          <w:rFonts w:hint="eastAsia" w:ascii="TimesNewRoman" w:hAnsi="TimesNewRoman" w:eastAsia="黑体" w:cs="TimesNewRoman"/>
          <w:bCs/>
          <w:color w:val="auto"/>
          <w:sz w:val="36"/>
          <w:szCs w:val="36"/>
        </w:rPr>
      </w:pPr>
      <w:r>
        <w:rPr>
          <w:rFonts w:hint="eastAsia" w:ascii="TimesNewRoman" w:hAnsi="TimesNewRoman" w:eastAsia="黑体" w:cs="TimesNewRoman"/>
          <w:bCs/>
          <w:color w:val="auto"/>
          <w:sz w:val="36"/>
          <w:szCs w:val="36"/>
        </w:rPr>
        <w:t>第二部分 2023年单位预算表</w:t>
      </w:r>
    </w:p>
    <w:p w14:paraId="25F34A4D">
      <w:pPr>
        <w:pStyle w:val="6"/>
        <w:adjustRightInd w:val="0"/>
        <w:snapToGrid w:val="0"/>
        <w:spacing w:line="560" w:lineRule="exact"/>
        <w:ind w:firstLine="627" w:firstLineChars="196"/>
        <w:jc w:val="center"/>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见附件1-2</w:t>
      </w:r>
    </w:p>
    <w:p w14:paraId="088F9656">
      <w:pPr>
        <w:rPr>
          <w:color w:val="auto"/>
        </w:rPr>
      </w:pPr>
      <w:r>
        <w:rPr>
          <w:color w:val="auto"/>
        </w:rPr>
        <w:t xml:space="preserve">                                        </w:t>
      </w:r>
    </w:p>
    <w:p w14:paraId="2F721C83">
      <w:pPr>
        <w:pStyle w:val="6"/>
        <w:adjustRightInd w:val="0"/>
        <w:snapToGrid w:val="0"/>
        <w:spacing w:line="560" w:lineRule="exact"/>
        <w:ind w:firstLine="1080" w:firstLineChars="300"/>
        <w:jc w:val="both"/>
        <w:rPr>
          <w:rFonts w:hint="eastAsia" w:ascii="TimesNewRoman" w:hAnsi="TimesNewRoman" w:eastAsia="黑体" w:cs="TimesNewRoman"/>
          <w:bCs/>
          <w:color w:val="auto"/>
          <w:sz w:val="36"/>
          <w:szCs w:val="36"/>
        </w:rPr>
      </w:pPr>
      <w:r>
        <w:rPr>
          <w:rFonts w:hint="eastAsia" w:ascii="TimesNewRoman" w:hAnsi="TimesNewRoman" w:eastAsia="黑体" w:cs="TimesNewRoman"/>
          <w:bCs/>
          <w:color w:val="auto"/>
          <w:sz w:val="36"/>
          <w:szCs w:val="36"/>
        </w:rPr>
        <w:t>第三部分 2023年单位预算情况说明</w:t>
      </w:r>
    </w:p>
    <w:p w14:paraId="4D58A804">
      <w:pPr>
        <w:rPr>
          <w:color w:val="auto"/>
        </w:rPr>
      </w:pPr>
    </w:p>
    <w:p w14:paraId="0D26563B">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一、关于2023年收支总表的说明</w:t>
      </w:r>
    </w:p>
    <w:p w14:paraId="0FD41335">
      <w:pPr>
        <w:pStyle w:val="6"/>
        <w:adjustRightInd w:val="0"/>
        <w:snapToGrid w:val="0"/>
        <w:spacing w:line="560" w:lineRule="exact"/>
        <w:ind w:firstLine="627" w:firstLineChars="196"/>
        <w:rPr>
          <w:rFonts w:hint="eastAsia" w:ascii="仿宋_GB2312" w:hAnsi="仿宋" w:eastAsia="仿宋_GB2312"/>
          <w:color w:val="auto"/>
          <w:sz w:val="32"/>
          <w:szCs w:val="32"/>
          <w:lang w:val="en-US" w:eastAsia="zh-CN"/>
        </w:rPr>
      </w:pPr>
      <w:r>
        <w:rPr>
          <w:rFonts w:hint="eastAsia" w:ascii="TimesNewRoman" w:hAnsi="TimesNewRoman" w:eastAsia="仿宋_GB2312" w:cs="TimesNewRoman"/>
          <w:color w:val="auto"/>
          <w:sz w:val="32"/>
          <w:szCs w:val="32"/>
        </w:rPr>
        <w:t>按照综合预算的原则，淮北市</w:t>
      </w:r>
      <w:r>
        <w:rPr>
          <w:rFonts w:hint="eastAsia" w:ascii="TimesNewRoman" w:hAnsi="TimesNewRoman" w:eastAsia="仿宋_GB2312" w:cs="TimesNewRoman"/>
          <w:color w:val="auto"/>
          <w:sz w:val="32"/>
          <w:szCs w:val="32"/>
          <w:lang w:eastAsia="zh-CN"/>
        </w:rPr>
        <w:t>水利工程质量监督站，</w:t>
      </w:r>
      <w:r>
        <w:rPr>
          <w:rFonts w:hint="eastAsia" w:ascii="TimesNewRoman" w:hAnsi="TimesNewRoman" w:eastAsia="仿宋_GB2312" w:cs="TimesNewRoman"/>
          <w:color w:val="auto"/>
          <w:sz w:val="32"/>
          <w:szCs w:val="32"/>
        </w:rPr>
        <w:t>所有收入和支出均纳入单位预算管理。淮北市</w:t>
      </w:r>
      <w:r>
        <w:rPr>
          <w:rFonts w:hint="eastAsia" w:ascii="TimesNewRoman" w:hAnsi="TimesNewRoman" w:eastAsia="仿宋_GB2312" w:cs="TimesNewRoman"/>
          <w:color w:val="auto"/>
          <w:sz w:val="32"/>
          <w:szCs w:val="32"/>
          <w:lang w:eastAsia="zh-CN"/>
        </w:rPr>
        <w:t>水利工程质量监督站</w:t>
      </w:r>
      <w:r>
        <w:rPr>
          <w:rFonts w:hint="eastAsia" w:ascii="TimesNewRoman" w:hAnsi="TimesNewRoman" w:eastAsia="仿宋_GB2312" w:cs="TimesNewRoman"/>
          <w:color w:val="auto"/>
          <w:sz w:val="32"/>
          <w:szCs w:val="32"/>
        </w:rPr>
        <w:t>2023年收支总预算</w:t>
      </w:r>
      <w:r>
        <w:rPr>
          <w:rFonts w:hint="eastAsia" w:ascii="TimesNewRoman" w:hAnsi="TimesNewRoman" w:eastAsia="仿宋_GB2312" w:cs="TimesNewRoman"/>
          <w:color w:val="auto"/>
          <w:sz w:val="32"/>
          <w:szCs w:val="32"/>
          <w:lang w:val="en-US" w:eastAsia="zh-CN"/>
        </w:rPr>
        <w:t>136.94</w:t>
      </w:r>
      <w:r>
        <w:rPr>
          <w:rFonts w:hint="eastAsia" w:ascii="TimesNewRoman" w:hAnsi="TimesNewRoman" w:eastAsia="仿宋_GB2312" w:cs="TimesNewRoman"/>
          <w:color w:val="auto"/>
          <w:sz w:val="32"/>
          <w:szCs w:val="32"/>
        </w:rPr>
        <w:t>万元，收入</w:t>
      </w:r>
      <w:r>
        <w:rPr>
          <w:rFonts w:hint="eastAsia" w:ascii="TimesNewRoman" w:hAnsi="TimesNewRoman" w:eastAsia="仿宋_GB2312" w:cs="TimesNewRoman"/>
          <w:color w:val="auto"/>
          <w:sz w:val="32"/>
          <w:szCs w:val="32"/>
          <w:lang w:val="en-US" w:eastAsia="zh-CN"/>
        </w:rPr>
        <w:t>全部是</w:t>
      </w:r>
      <w:r>
        <w:rPr>
          <w:rFonts w:hint="eastAsia" w:ascii="TimesNewRoman" w:hAnsi="TimesNewRoman" w:eastAsia="仿宋_GB2312" w:cs="TimesNewRoman"/>
          <w:color w:val="auto"/>
          <w:sz w:val="32"/>
          <w:szCs w:val="32"/>
        </w:rPr>
        <w:t>一般公共预算拨款收入</w:t>
      </w:r>
      <w:r>
        <w:rPr>
          <w:rFonts w:hint="eastAsia" w:ascii="TimesNewRoman" w:hAnsi="TimesNewRoman" w:eastAsia="仿宋_GB2312" w:cs="TimesNewRoman"/>
          <w:color w:val="auto"/>
          <w:sz w:val="32"/>
          <w:szCs w:val="32"/>
          <w:lang w:val="en-US" w:eastAsia="zh-CN"/>
        </w:rPr>
        <w:t>136.94万元</w:t>
      </w:r>
      <w:r>
        <w:rPr>
          <w:rFonts w:hint="eastAsia" w:ascii="TimesNewRoman" w:hAnsi="TimesNewRoman" w:eastAsia="仿宋_GB2312" w:cs="TimesNewRoman"/>
          <w:color w:val="auto"/>
          <w:sz w:val="32"/>
          <w:szCs w:val="32"/>
          <w:lang w:eastAsia="zh-CN"/>
        </w:rPr>
        <w:t>。</w:t>
      </w:r>
      <w:r>
        <w:rPr>
          <w:rFonts w:hint="eastAsia" w:ascii="仿宋_GB2312" w:hAnsi="仿宋" w:eastAsia="仿宋_GB2312"/>
          <w:color w:val="auto"/>
          <w:sz w:val="32"/>
          <w:szCs w:val="32"/>
        </w:rPr>
        <w:t>支出包括：社会保障和就业支出、卫生健康支出、</w:t>
      </w:r>
      <w:r>
        <w:rPr>
          <w:rFonts w:hint="eastAsia" w:ascii="仿宋_GB2312" w:hAnsi="仿宋" w:eastAsia="仿宋_GB2312"/>
          <w:color w:val="auto"/>
          <w:sz w:val="32"/>
          <w:szCs w:val="32"/>
          <w:lang w:eastAsia="zh-CN"/>
        </w:rPr>
        <w:t>农林水支出</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住房保障支出</w:t>
      </w:r>
      <w:r>
        <w:rPr>
          <w:rFonts w:hint="eastAsia" w:ascii="仿宋_GB2312" w:hAnsi="仿宋" w:eastAsia="仿宋_GB2312"/>
          <w:color w:val="auto"/>
          <w:sz w:val="32"/>
          <w:szCs w:val="32"/>
          <w:lang w:val="en-US" w:eastAsia="zh-CN"/>
        </w:rPr>
        <w:t>。</w:t>
      </w:r>
    </w:p>
    <w:p w14:paraId="5216AE9B">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二、关于2023年收入总表的说明</w:t>
      </w:r>
    </w:p>
    <w:p w14:paraId="72088D81">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2023年收入预算</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万元，其中，本年收入</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w:t>
      </w:r>
    </w:p>
    <w:p w14:paraId="2A1E4069">
      <w:pPr>
        <w:numPr>
          <w:ilvl w:val="0"/>
          <w:numId w:val="1"/>
        </w:numPr>
        <w:ind w:firstLine="643"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b/>
          <w:color w:val="auto"/>
          <w:kern w:val="0"/>
          <w:sz w:val="32"/>
          <w:szCs w:val="32"/>
        </w:rPr>
        <w:t>本年收入</w:t>
      </w:r>
      <w:r>
        <w:rPr>
          <w:rFonts w:hint="eastAsia" w:ascii="TimesNewRoman" w:hAnsi="TimesNewRoman" w:eastAsia="仿宋_GB2312" w:cs="TimesNewRoman"/>
          <w:b/>
          <w:color w:val="auto"/>
          <w:kern w:val="0"/>
          <w:sz w:val="32"/>
          <w:szCs w:val="32"/>
          <w:lang w:val="en-US" w:eastAsia="zh-CN"/>
        </w:rPr>
        <w:t>136.94</w:t>
      </w:r>
      <w:r>
        <w:rPr>
          <w:rFonts w:hint="eastAsia" w:ascii="TimesNewRoman" w:hAnsi="TimesNewRoman" w:eastAsia="仿宋_GB2312" w:cs="TimesNewRoman"/>
          <w:b/>
          <w:color w:val="auto"/>
          <w:kern w:val="0"/>
          <w:sz w:val="32"/>
          <w:szCs w:val="32"/>
        </w:rPr>
        <w:t>万元，</w:t>
      </w:r>
      <w:r>
        <w:rPr>
          <w:rFonts w:hint="eastAsia" w:ascii="TimesNewRoman" w:hAnsi="TimesNewRoman" w:eastAsia="仿宋_GB2312" w:cs="TimesNewRoman"/>
          <w:color w:val="auto"/>
          <w:kern w:val="0"/>
          <w:sz w:val="32"/>
          <w:szCs w:val="32"/>
        </w:rPr>
        <w:t>主要包括：一般公共预算拨款收入</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100</w:t>
      </w:r>
      <w:r>
        <w:rPr>
          <w:rFonts w:hint="eastAsia" w:ascii="TimesNewRoman" w:hAnsi="TimesNewRoman" w:eastAsia="仿宋_GB2312" w:cs="TimesNewRoman"/>
          <w:color w:val="auto"/>
          <w:kern w:val="0"/>
          <w:sz w:val="32"/>
          <w:szCs w:val="32"/>
        </w:rPr>
        <w:t>%，比2022年预算增加</w:t>
      </w:r>
      <w:r>
        <w:rPr>
          <w:rFonts w:hint="eastAsia" w:ascii="TimesNewRoman" w:hAnsi="TimesNewRoman" w:eastAsia="仿宋_GB2312" w:cs="TimesNewRoman"/>
          <w:color w:val="auto"/>
          <w:kern w:val="0"/>
          <w:sz w:val="32"/>
          <w:szCs w:val="32"/>
          <w:lang w:val="en-US" w:eastAsia="zh-CN"/>
        </w:rPr>
        <w:t>43.39</w:t>
      </w:r>
      <w:r>
        <w:rPr>
          <w:rFonts w:hint="eastAsia" w:ascii="TimesNewRoman" w:hAnsi="TimesNewRoman" w:eastAsia="仿宋_GB2312" w:cs="TimesNewRoman"/>
          <w:color w:val="auto"/>
          <w:kern w:val="0"/>
          <w:sz w:val="32"/>
          <w:szCs w:val="32"/>
        </w:rPr>
        <w:t>万元，增长</w:t>
      </w:r>
      <w:r>
        <w:rPr>
          <w:rFonts w:hint="eastAsia" w:ascii="TimesNewRoman" w:hAnsi="TimesNewRoman" w:eastAsia="仿宋_GB2312" w:cs="TimesNewRoman"/>
          <w:color w:val="auto"/>
          <w:kern w:val="0"/>
          <w:sz w:val="32"/>
          <w:szCs w:val="32"/>
          <w:lang w:val="en-US" w:eastAsia="zh-CN"/>
        </w:rPr>
        <w:t>46.38</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仿宋_GB2312" w:hAnsi="仿宋" w:eastAsia="仿宋_GB2312"/>
          <w:color w:val="auto"/>
          <w:sz w:val="32"/>
          <w:szCs w:val="32"/>
          <w:lang w:val="en-US" w:eastAsia="zh-CN"/>
        </w:rPr>
        <w:t>一是本年新增在编及退休人员基础绩效奖金；二是增加职工6%预留</w:t>
      </w:r>
      <w:r>
        <w:rPr>
          <w:rFonts w:hint="eastAsia" w:ascii="仿宋_GB2312" w:hAnsi="仿宋" w:eastAsia="仿宋_GB2312"/>
          <w:color w:val="auto"/>
          <w:sz w:val="32"/>
          <w:szCs w:val="32"/>
          <w:lang w:eastAsia="zh-CN"/>
        </w:rPr>
        <w:t>增资；三是</w:t>
      </w:r>
      <w:r>
        <w:rPr>
          <w:rFonts w:hint="eastAsia" w:ascii="仿宋_GB2312" w:hAnsi="仿宋" w:eastAsia="仿宋_GB2312"/>
          <w:color w:val="auto"/>
          <w:sz w:val="32"/>
          <w:szCs w:val="32"/>
          <w:lang w:val="en-US" w:eastAsia="zh-CN"/>
        </w:rPr>
        <w:t>2022年招考</w:t>
      </w:r>
      <w:r>
        <w:rPr>
          <w:rFonts w:hint="eastAsia" w:ascii="仿宋_GB2312" w:hAnsi="仿宋" w:eastAsia="仿宋_GB2312"/>
          <w:color w:val="auto"/>
          <w:sz w:val="32"/>
          <w:szCs w:val="32"/>
          <w:lang w:eastAsia="zh-CN"/>
        </w:rPr>
        <w:t>新增</w:t>
      </w:r>
      <w:r>
        <w:rPr>
          <w:rFonts w:hint="eastAsia" w:ascii="仿宋_GB2312" w:hAnsi="仿宋" w:eastAsia="仿宋_GB2312"/>
          <w:color w:val="auto"/>
          <w:sz w:val="32"/>
          <w:szCs w:val="32"/>
          <w:lang w:val="en-US" w:eastAsia="zh-CN"/>
        </w:rPr>
        <w:t>1人，2023年预算支出增加；四、</w:t>
      </w:r>
      <w:r>
        <w:rPr>
          <w:rFonts w:hint="eastAsia" w:ascii="仿宋_GB2312" w:hAnsi="仿宋" w:eastAsia="仿宋_GB2312"/>
          <w:color w:val="auto"/>
          <w:sz w:val="32"/>
          <w:szCs w:val="32"/>
          <w:lang w:eastAsia="zh-CN"/>
        </w:rPr>
        <w:t>公积金、社保费基数相应调整。</w:t>
      </w:r>
      <w:r>
        <w:rPr>
          <w:rFonts w:hint="eastAsia" w:ascii="TimesNewRoman" w:hAnsi="TimesNewRoman" w:eastAsia="仿宋_GB2312" w:cs="TimesNewRoman"/>
          <w:color w:val="auto"/>
          <w:kern w:val="0"/>
          <w:sz w:val="32"/>
          <w:szCs w:val="32"/>
        </w:rPr>
        <w:t>政府性基金预算拨款收入</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rPr>
        <w:t>占</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lang w:val="en-US" w:eastAsia="zh-CN"/>
        </w:rPr>
        <w:t>与2022年预算一致，原因主要是：根据本单位工作任务，2022年度预算、2023年度预算均未安排政府性基金预算拨款收入；</w:t>
      </w:r>
      <w:r>
        <w:rPr>
          <w:rFonts w:hint="eastAsia" w:ascii="TimesNewRoman" w:hAnsi="TimesNewRoman" w:eastAsia="仿宋_GB2312" w:cs="TimesNewRoman"/>
          <w:color w:val="auto"/>
          <w:kern w:val="0"/>
          <w:sz w:val="32"/>
          <w:szCs w:val="32"/>
        </w:rPr>
        <w:t>财政专户管理资金收入</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rPr>
        <w:t>占</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lang w:val="en-US" w:eastAsia="zh-CN"/>
        </w:rPr>
        <w:t>与2022年预算一致，原因主要是：根据本单位工作任务，2022年度预算、2023年度预算均未安排</w:t>
      </w:r>
      <w:r>
        <w:rPr>
          <w:rFonts w:hint="eastAsia" w:ascii="TimesNewRoman" w:hAnsi="TimesNewRoman" w:eastAsia="仿宋_GB2312" w:cs="TimesNewRoman"/>
          <w:color w:val="auto"/>
          <w:kern w:val="0"/>
          <w:sz w:val="32"/>
          <w:szCs w:val="32"/>
        </w:rPr>
        <w:t>财政专户管理资金</w:t>
      </w:r>
      <w:r>
        <w:rPr>
          <w:rFonts w:hint="eastAsia" w:ascii="TimesNewRoman" w:hAnsi="TimesNewRoman" w:eastAsia="仿宋_GB2312" w:cs="TimesNewRoman"/>
          <w:color w:val="auto"/>
          <w:kern w:val="0"/>
          <w:sz w:val="32"/>
          <w:szCs w:val="32"/>
          <w:lang w:val="en-US" w:eastAsia="zh-CN"/>
        </w:rPr>
        <w:t>收入。</w:t>
      </w:r>
    </w:p>
    <w:p w14:paraId="35867EA0">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三、关于2023年支出总表的说明</w:t>
      </w:r>
    </w:p>
    <w:p w14:paraId="07379D06">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2023年支出预算</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万元，比2022年预算增加</w:t>
      </w:r>
      <w:r>
        <w:rPr>
          <w:rFonts w:hint="eastAsia" w:ascii="TimesNewRoman" w:hAnsi="TimesNewRoman" w:eastAsia="仿宋_GB2312" w:cs="TimesNewRoman"/>
          <w:color w:val="auto"/>
          <w:kern w:val="0"/>
          <w:sz w:val="32"/>
          <w:szCs w:val="32"/>
          <w:lang w:val="en-US" w:eastAsia="zh-CN"/>
        </w:rPr>
        <w:t>43.39</w:t>
      </w:r>
      <w:r>
        <w:rPr>
          <w:rFonts w:hint="eastAsia" w:ascii="TimesNewRoman" w:hAnsi="TimesNewRoman" w:eastAsia="仿宋_GB2312" w:cs="TimesNewRoman"/>
          <w:color w:val="auto"/>
          <w:kern w:val="0"/>
          <w:sz w:val="32"/>
          <w:szCs w:val="32"/>
        </w:rPr>
        <w:t>万元，增长</w:t>
      </w:r>
      <w:r>
        <w:rPr>
          <w:rFonts w:hint="eastAsia" w:ascii="TimesNewRoman" w:hAnsi="TimesNewRoman" w:eastAsia="仿宋_GB2312" w:cs="TimesNewRoman"/>
          <w:color w:val="auto"/>
          <w:kern w:val="0"/>
          <w:sz w:val="32"/>
          <w:szCs w:val="32"/>
          <w:lang w:val="en-US" w:eastAsia="zh-CN"/>
        </w:rPr>
        <w:t>46.38%。</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仿宋_GB2312" w:hAnsi="仿宋" w:eastAsia="仿宋_GB2312"/>
          <w:color w:val="auto"/>
          <w:sz w:val="32"/>
          <w:szCs w:val="32"/>
          <w:lang w:val="en-US" w:eastAsia="zh-CN"/>
        </w:rPr>
        <w:t>一是本年新增在编及退休人员基础绩效奖金；二是增加职工6%预留</w:t>
      </w:r>
      <w:r>
        <w:rPr>
          <w:rFonts w:hint="eastAsia" w:ascii="仿宋_GB2312" w:hAnsi="仿宋" w:eastAsia="仿宋_GB2312"/>
          <w:color w:val="auto"/>
          <w:sz w:val="32"/>
          <w:szCs w:val="32"/>
          <w:lang w:eastAsia="zh-CN"/>
        </w:rPr>
        <w:t>增资；三是</w:t>
      </w:r>
      <w:r>
        <w:rPr>
          <w:rFonts w:hint="eastAsia" w:ascii="仿宋_GB2312" w:hAnsi="仿宋" w:eastAsia="仿宋_GB2312"/>
          <w:color w:val="auto"/>
          <w:sz w:val="32"/>
          <w:szCs w:val="32"/>
          <w:lang w:val="en-US" w:eastAsia="zh-CN"/>
        </w:rPr>
        <w:t>2022年招考</w:t>
      </w:r>
      <w:r>
        <w:rPr>
          <w:rFonts w:hint="eastAsia" w:ascii="仿宋_GB2312" w:hAnsi="仿宋" w:eastAsia="仿宋_GB2312"/>
          <w:color w:val="auto"/>
          <w:sz w:val="32"/>
          <w:szCs w:val="32"/>
          <w:lang w:eastAsia="zh-CN"/>
        </w:rPr>
        <w:t>新增</w:t>
      </w:r>
      <w:r>
        <w:rPr>
          <w:rFonts w:hint="eastAsia" w:ascii="仿宋_GB2312" w:hAnsi="仿宋" w:eastAsia="仿宋_GB2312"/>
          <w:color w:val="auto"/>
          <w:sz w:val="32"/>
          <w:szCs w:val="32"/>
          <w:lang w:val="en-US" w:eastAsia="zh-CN"/>
        </w:rPr>
        <w:t>1人，2023年预算支出增加；四</w:t>
      </w:r>
      <w:r>
        <w:rPr>
          <w:rFonts w:hint="eastAsia" w:ascii="仿宋_GB2312" w:hAnsi="仿宋" w:eastAsia="仿宋_GB2312"/>
          <w:color w:val="auto"/>
          <w:sz w:val="32"/>
          <w:szCs w:val="32"/>
          <w:lang w:eastAsia="zh-CN"/>
        </w:rPr>
        <w:t>是公积金、社保费基数相应调整。</w:t>
      </w:r>
      <w:r>
        <w:rPr>
          <w:rFonts w:hint="eastAsia" w:ascii="TimesNewRoman" w:hAnsi="TimesNewRoman" w:eastAsia="仿宋_GB2312" w:cs="TimesNewRoman"/>
          <w:color w:val="auto"/>
          <w:kern w:val="0"/>
          <w:sz w:val="32"/>
          <w:szCs w:val="32"/>
        </w:rPr>
        <w:t>其中，基本支出</w:t>
      </w:r>
      <w:r>
        <w:rPr>
          <w:rFonts w:hint="eastAsia" w:ascii="TimesNewRoman" w:hAnsi="TimesNewRoman" w:eastAsia="仿宋_GB2312" w:cs="TimesNewRoman"/>
          <w:color w:val="auto"/>
          <w:kern w:val="0"/>
          <w:sz w:val="32"/>
          <w:szCs w:val="32"/>
          <w:lang w:val="en-US" w:eastAsia="zh-CN"/>
        </w:rPr>
        <w:t>98.94</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72.25</w:t>
      </w:r>
      <w:r>
        <w:rPr>
          <w:rFonts w:hint="eastAsia" w:ascii="TimesNewRoman" w:hAnsi="TimesNewRoman" w:eastAsia="仿宋_GB2312" w:cs="TimesNewRoman"/>
          <w:color w:val="auto"/>
          <w:kern w:val="0"/>
          <w:sz w:val="32"/>
          <w:szCs w:val="32"/>
        </w:rPr>
        <w:t>%，主要用于保障机构日常运转、完成日常工作任务；项目支出</w:t>
      </w:r>
      <w:r>
        <w:rPr>
          <w:rFonts w:hint="eastAsia" w:ascii="TimesNewRoman" w:hAnsi="TimesNewRoman" w:eastAsia="仿宋_GB2312" w:cs="TimesNewRoman"/>
          <w:color w:val="auto"/>
          <w:kern w:val="0"/>
          <w:sz w:val="32"/>
          <w:szCs w:val="32"/>
          <w:lang w:val="en-US" w:eastAsia="zh-CN"/>
        </w:rPr>
        <w:t>38</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27.75</w:t>
      </w:r>
      <w:r>
        <w:rPr>
          <w:rFonts w:hint="eastAsia" w:ascii="TimesNewRoman" w:hAnsi="TimesNewRoman" w:eastAsia="仿宋_GB2312" w:cs="TimesNewRoman"/>
          <w:color w:val="auto"/>
          <w:kern w:val="0"/>
          <w:sz w:val="32"/>
          <w:szCs w:val="32"/>
        </w:rPr>
        <w:t>%，</w:t>
      </w:r>
      <w:r>
        <w:rPr>
          <w:rFonts w:hint="eastAsia" w:ascii="仿宋_GB2312" w:hAnsi="仿宋" w:eastAsia="仿宋_GB2312"/>
          <w:color w:val="auto"/>
          <w:sz w:val="32"/>
          <w:szCs w:val="32"/>
        </w:rPr>
        <w:t>主要用于</w:t>
      </w:r>
      <w:r>
        <w:rPr>
          <w:rFonts w:hint="eastAsia" w:ascii="仿宋_GB2312" w:hAnsi="楷体" w:eastAsia="仿宋_GB2312"/>
          <w:color w:val="auto"/>
          <w:sz w:val="32"/>
          <w:szCs w:val="32"/>
          <w:lang w:eastAsia="zh-CN"/>
        </w:rPr>
        <w:t>主要用于弥补质监站正常业务支出，确保质监站工作顺利开展。</w:t>
      </w:r>
    </w:p>
    <w:p w14:paraId="48047700">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四、关于2023年财政拨款收支总表的说明</w:t>
      </w:r>
    </w:p>
    <w:p w14:paraId="034E44F3">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2023年财政拨款收支预算</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万元。收入按资金来源分为：一般公共预算拨款</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万元、政府性基金预算拨款</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万元；按资金年度分为：本年财政拨款收入</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万元。支出按功能分类分为：一般公共服务支出</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100</w:t>
      </w:r>
      <w:r>
        <w:rPr>
          <w:rFonts w:hint="eastAsia" w:ascii="TimesNewRoman" w:hAnsi="TimesNewRoman" w:eastAsia="仿宋_GB2312" w:cs="TimesNewRoman"/>
          <w:color w:val="auto"/>
          <w:kern w:val="0"/>
          <w:sz w:val="32"/>
          <w:szCs w:val="32"/>
        </w:rPr>
        <w:t>%；社会保障和就业支出</w:t>
      </w:r>
      <w:r>
        <w:rPr>
          <w:rFonts w:hint="eastAsia" w:ascii="TimesNewRoman" w:hAnsi="TimesNewRoman" w:eastAsia="仿宋_GB2312" w:cs="TimesNewRoman"/>
          <w:color w:val="auto"/>
          <w:kern w:val="0"/>
          <w:sz w:val="32"/>
          <w:szCs w:val="32"/>
          <w:lang w:val="en-US" w:eastAsia="zh-CN"/>
        </w:rPr>
        <w:t>15.92</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11.63</w:t>
      </w:r>
      <w:r>
        <w:rPr>
          <w:rFonts w:hint="eastAsia" w:ascii="TimesNewRoman" w:hAnsi="TimesNewRoman" w:eastAsia="仿宋_GB2312" w:cs="TimesNewRoman"/>
          <w:color w:val="auto"/>
          <w:kern w:val="0"/>
          <w:sz w:val="32"/>
          <w:szCs w:val="32"/>
        </w:rPr>
        <w:t>%；卫生健康支出</w:t>
      </w:r>
      <w:r>
        <w:rPr>
          <w:rFonts w:hint="eastAsia" w:ascii="TimesNewRoman" w:hAnsi="TimesNewRoman" w:eastAsia="仿宋_GB2312" w:cs="TimesNewRoman"/>
          <w:color w:val="auto"/>
          <w:kern w:val="0"/>
          <w:sz w:val="32"/>
          <w:szCs w:val="32"/>
          <w:lang w:val="en-US" w:eastAsia="zh-CN"/>
        </w:rPr>
        <w:t>4.56</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3.33</w:t>
      </w:r>
      <w:r>
        <w:rPr>
          <w:rFonts w:hint="eastAsia" w:ascii="TimesNewRoman" w:hAnsi="TimesNewRoman" w:eastAsia="仿宋_GB2312" w:cs="TimesNewRoman"/>
          <w:color w:val="auto"/>
          <w:kern w:val="0"/>
          <w:sz w:val="32"/>
          <w:szCs w:val="32"/>
        </w:rPr>
        <w:t>%；住房保障支出</w:t>
      </w:r>
      <w:r>
        <w:rPr>
          <w:rFonts w:hint="eastAsia" w:ascii="TimesNewRoman" w:hAnsi="TimesNewRoman" w:eastAsia="仿宋_GB2312" w:cs="TimesNewRoman"/>
          <w:color w:val="auto"/>
          <w:kern w:val="0"/>
          <w:sz w:val="32"/>
          <w:szCs w:val="32"/>
          <w:lang w:val="en-US" w:eastAsia="zh-CN"/>
        </w:rPr>
        <w:t>11.05</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8.07</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农林水支出</w:t>
      </w:r>
      <w:r>
        <w:rPr>
          <w:rFonts w:hint="eastAsia" w:ascii="TimesNewRoman" w:hAnsi="TimesNewRoman" w:eastAsia="仿宋_GB2312" w:cs="TimesNewRoman"/>
          <w:color w:val="auto"/>
          <w:kern w:val="0"/>
          <w:sz w:val="32"/>
          <w:szCs w:val="32"/>
          <w:lang w:val="en-US" w:eastAsia="zh-CN"/>
        </w:rPr>
        <w:t>105.41万元，占76.97%。</w:t>
      </w:r>
    </w:p>
    <w:p w14:paraId="109AB2C7">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五、关于2023年一般公共预算支出表的说明</w:t>
      </w:r>
    </w:p>
    <w:p w14:paraId="77ACA30E">
      <w:pPr>
        <w:pStyle w:val="6"/>
        <w:adjustRightInd w:val="0"/>
        <w:snapToGrid w:val="0"/>
        <w:spacing w:line="560" w:lineRule="exact"/>
        <w:ind w:firstLine="630" w:firstLineChars="196"/>
        <w:rPr>
          <w:rFonts w:hint="eastAsia" w:ascii="TimesNewRoman" w:hAnsi="TimesNewRoman" w:eastAsia="楷体_GB2312" w:cs="TimesNewRoman"/>
          <w:b/>
          <w:color w:val="auto"/>
          <w:sz w:val="32"/>
          <w:szCs w:val="32"/>
        </w:rPr>
      </w:pPr>
      <w:r>
        <w:rPr>
          <w:rFonts w:hint="eastAsia" w:ascii="TimesNewRoman" w:hAnsi="TimesNewRoman" w:eastAsia="楷体_GB2312" w:cs="TimesNewRoman"/>
          <w:b/>
          <w:color w:val="auto"/>
          <w:sz w:val="32"/>
          <w:szCs w:val="32"/>
        </w:rPr>
        <w:t>（一）一般公共预算支出规模变化情况。</w:t>
      </w:r>
    </w:p>
    <w:p w14:paraId="04FBDA63">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2023年一般公共预算支出</w:t>
      </w:r>
      <w:r>
        <w:rPr>
          <w:rFonts w:hint="eastAsia" w:ascii="TimesNewRoman" w:hAnsi="TimesNewRoman" w:eastAsia="仿宋_GB2312" w:cs="TimesNewRoman"/>
          <w:color w:val="auto"/>
          <w:kern w:val="0"/>
          <w:sz w:val="32"/>
          <w:szCs w:val="32"/>
          <w:lang w:val="en-US" w:eastAsia="zh-CN"/>
        </w:rPr>
        <w:t>136.94</w:t>
      </w:r>
      <w:r>
        <w:rPr>
          <w:rFonts w:hint="eastAsia" w:ascii="TimesNewRoman" w:hAnsi="TimesNewRoman" w:eastAsia="仿宋_GB2312" w:cs="TimesNewRoman"/>
          <w:color w:val="auto"/>
          <w:kern w:val="0"/>
          <w:sz w:val="32"/>
          <w:szCs w:val="32"/>
        </w:rPr>
        <w:t>万元，比2022年预算增加</w:t>
      </w:r>
      <w:r>
        <w:rPr>
          <w:rFonts w:hint="eastAsia" w:ascii="TimesNewRoman" w:hAnsi="TimesNewRoman" w:eastAsia="仿宋_GB2312" w:cs="TimesNewRoman"/>
          <w:color w:val="auto"/>
          <w:kern w:val="0"/>
          <w:sz w:val="32"/>
          <w:szCs w:val="32"/>
          <w:lang w:val="en-US" w:eastAsia="zh-CN"/>
        </w:rPr>
        <w:t>43.39</w:t>
      </w:r>
      <w:r>
        <w:rPr>
          <w:rFonts w:hint="eastAsia" w:ascii="TimesNewRoman" w:hAnsi="TimesNewRoman" w:eastAsia="仿宋_GB2312" w:cs="TimesNewRoman"/>
          <w:color w:val="auto"/>
          <w:kern w:val="0"/>
          <w:sz w:val="32"/>
          <w:szCs w:val="32"/>
        </w:rPr>
        <w:t>万元，增长</w:t>
      </w:r>
      <w:r>
        <w:rPr>
          <w:rFonts w:hint="eastAsia" w:ascii="TimesNewRoman" w:hAnsi="TimesNewRoman" w:eastAsia="仿宋_GB2312" w:cs="TimesNewRoman"/>
          <w:color w:val="auto"/>
          <w:kern w:val="0"/>
          <w:sz w:val="32"/>
          <w:szCs w:val="32"/>
          <w:lang w:val="en-US" w:eastAsia="zh-CN"/>
        </w:rPr>
        <w:t>46.38</w:t>
      </w:r>
      <w:r>
        <w:rPr>
          <w:rFonts w:hint="eastAsia" w:ascii="TimesNewRoman" w:hAnsi="TimesNewRoman" w:eastAsia="仿宋_GB2312" w:cs="TimesNewRoman"/>
          <w:color w:val="auto"/>
          <w:kern w:val="0"/>
          <w:sz w:val="32"/>
          <w:szCs w:val="32"/>
        </w:rPr>
        <w:t>%，主要原因：</w:t>
      </w:r>
      <w:r>
        <w:rPr>
          <w:rFonts w:hint="eastAsia" w:ascii="仿宋_GB2312" w:hAnsi="仿宋" w:eastAsia="仿宋_GB2312"/>
          <w:color w:val="auto"/>
          <w:sz w:val="32"/>
          <w:szCs w:val="32"/>
          <w:lang w:val="en-US" w:eastAsia="zh-CN"/>
        </w:rPr>
        <w:t>一是本年新增在编及退休人员基础绩效奖金；二是增加职工6%预留</w:t>
      </w:r>
      <w:r>
        <w:rPr>
          <w:rFonts w:hint="eastAsia" w:ascii="仿宋_GB2312" w:hAnsi="仿宋" w:eastAsia="仿宋_GB2312"/>
          <w:color w:val="auto"/>
          <w:sz w:val="32"/>
          <w:szCs w:val="32"/>
          <w:lang w:eastAsia="zh-CN"/>
        </w:rPr>
        <w:t>增资；三是</w:t>
      </w:r>
      <w:r>
        <w:rPr>
          <w:rFonts w:hint="eastAsia" w:ascii="仿宋_GB2312" w:hAnsi="仿宋" w:eastAsia="仿宋_GB2312"/>
          <w:color w:val="auto"/>
          <w:sz w:val="32"/>
          <w:szCs w:val="32"/>
          <w:lang w:val="en-US" w:eastAsia="zh-CN"/>
        </w:rPr>
        <w:t>2022年招考</w:t>
      </w:r>
      <w:r>
        <w:rPr>
          <w:rFonts w:hint="eastAsia" w:ascii="仿宋_GB2312" w:hAnsi="仿宋" w:eastAsia="仿宋_GB2312"/>
          <w:color w:val="auto"/>
          <w:sz w:val="32"/>
          <w:szCs w:val="32"/>
          <w:lang w:eastAsia="zh-CN"/>
        </w:rPr>
        <w:t>新增</w:t>
      </w:r>
      <w:r>
        <w:rPr>
          <w:rFonts w:hint="eastAsia" w:ascii="仿宋_GB2312" w:hAnsi="仿宋" w:eastAsia="仿宋_GB2312"/>
          <w:color w:val="auto"/>
          <w:sz w:val="32"/>
          <w:szCs w:val="32"/>
          <w:lang w:val="en-US" w:eastAsia="zh-CN"/>
        </w:rPr>
        <w:t>1人，2023年预算支出增加；四</w:t>
      </w:r>
      <w:r>
        <w:rPr>
          <w:rFonts w:hint="eastAsia" w:ascii="仿宋_GB2312" w:hAnsi="仿宋" w:eastAsia="仿宋_GB2312"/>
          <w:color w:val="auto"/>
          <w:sz w:val="32"/>
          <w:szCs w:val="32"/>
          <w:lang w:eastAsia="zh-CN"/>
        </w:rPr>
        <w:t>是公积金、社保费基数相应调整。</w:t>
      </w:r>
    </w:p>
    <w:p w14:paraId="05E485FB">
      <w:pPr>
        <w:pStyle w:val="6"/>
        <w:adjustRightInd w:val="0"/>
        <w:snapToGrid w:val="0"/>
        <w:spacing w:line="560" w:lineRule="exact"/>
        <w:ind w:firstLine="630" w:firstLineChars="196"/>
        <w:rPr>
          <w:rFonts w:hint="eastAsia" w:ascii="TimesNewRoman" w:hAnsi="TimesNewRoman" w:eastAsia="楷体_GB2312" w:cs="TimesNewRoman"/>
          <w:b/>
          <w:color w:val="auto"/>
          <w:sz w:val="32"/>
          <w:szCs w:val="32"/>
        </w:rPr>
      </w:pPr>
      <w:r>
        <w:rPr>
          <w:rFonts w:hint="eastAsia" w:ascii="TimesNewRoman" w:hAnsi="TimesNewRoman" w:eastAsia="楷体_GB2312" w:cs="TimesNewRoman"/>
          <w:b/>
          <w:color w:val="auto"/>
          <w:sz w:val="32"/>
          <w:szCs w:val="32"/>
        </w:rPr>
        <w:t>（二）一般公共预算支出结构情况。</w:t>
      </w:r>
    </w:p>
    <w:p w14:paraId="0A4D98EA">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社会保障和就业支出</w:t>
      </w:r>
      <w:r>
        <w:rPr>
          <w:rFonts w:hint="eastAsia" w:ascii="TimesNewRoman" w:hAnsi="TimesNewRoman" w:eastAsia="仿宋_GB2312" w:cs="TimesNewRoman"/>
          <w:color w:val="auto"/>
          <w:kern w:val="0"/>
          <w:sz w:val="32"/>
          <w:szCs w:val="32"/>
          <w:lang w:val="en-US" w:eastAsia="zh-CN"/>
        </w:rPr>
        <w:t>15.92</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11.63</w:t>
      </w:r>
      <w:r>
        <w:rPr>
          <w:rFonts w:hint="eastAsia" w:ascii="TimesNewRoman" w:hAnsi="TimesNewRoman" w:eastAsia="仿宋_GB2312" w:cs="TimesNewRoman"/>
          <w:color w:val="auto"/>
          <w:kern w:val="0"/>
          <w:sz w:val="32"/>
          <w:szCs w:val="32"/>
        </w:rPr>
        <w:t>%；卫生健康支出</w:t>
      </w:r>
      <w:r>
        <w:rPr>
          <w:rFonts w:hint="eastAsia" w:ascii="TimesNewRoman" w:hAnsi="TimesNewRoman" w:eastAsia="仿宋_GB2312" w:cs="TimesNewRoman"/>
          <w:color w:val="auto"/>
          <w:kern w:val="0"/>
          <w:sz w:val="32"/>
          <w:szCs w:val="32"/>
          <w:lang w:val="en-US" w:eastAsia="zh-CN"/>
        </w:rPr>
        <w:t>4.56</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3.33</w:t>
      </w:r>
      <w:r>
        <w:rPr>
          <w:rFonts w:hint="eastAsia" w:ascii="TimesNewRoman" w:hAnsi="TimesNewRoman" w:eastAsia="仿宋_GB2312" w:cs="TimesNewRoman"/>
          <w:color w:val="auto"/>
          <w:kern w:val="0"/>
          <w:sz w:val="32"/>
          <w:szCs w:val="32"/>
        </w:rPr>
        <w:t>%；住房保障支出</w:t>
      </w:r>
      <w:r>
        <w:rPr>
          <w:rFonts w:hint="eastAsia" w:ascii="TimesNewRoman" w:hAnsi="TimesNewRoman" w:eastAsia="仿宋_GB2312" w:cs="TimesNewRoman"/>
          <w:color w:val="auto"/>
          <w:kern w:val="0"/>
          <w:sz w:val="32"/>
          <w:szCs w:val="32"/>
          <w:lang w:val="en-US" w:eastAsia="zh-CN"/>
        </w:rPr>
        <w:t>11.05</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8.07</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农林水支出</w:t>
      </w:r>
      <w:r>
        <w:rPr>
          <w:rFonts w:hint="eastAsia" w:ascii="TimesNewRoman" w:hAnsi="TimesNewRoman" w:eastAsia="仿宋_GB2312" w:cs="TimesNewRoman"/>
          <w:color w:val="auto"/>
          <w:kern w:val="0"/>
          <w:sz w:val="32"/>
          <w:szCs w:val="32"/>
          <w:lang w:val="en-US" w:eastAsia="zh-CN"/>
        </w:rPr>
        <w:t>105.41万元，占76.97%。</w:t>
      </w:r>
    </w:p>
    <w:p w14:paraId="40B95289">
      <w:pPr>
        <w:pStyle w:val="6"/>
        <w:adjustRightInd w:val="0"/>
        <w:snapToGrid w:val="0"/>
        <w:spacing w:line="560" w:lineRule="exact"/>
        <w:ind w:firstLine="630" w:firstLineChars="196"/>
        <w:rPr>
          <w:rFonts w:hint="eastAsia" w:ascii="TimesNewRoman" w:hAnsi="TimesNewRoman" w:eastAsia="楷体_GB2312" w:cs="TimesNewRoman"/>
          <w:b/>
          <w:color w:val="auto"/>
          <w:sz w:val="32"/>
          <w:szCs w:val="32"/>
        </w:rPr>
      </w:pPr>
      <w:r>
        <w:rPr>
          <w:rFonts w:hint="eastAsia" w:ascii="TimesNewRoman" w:hAnsi="TimesNewRoman" w:eastAsia="楷体_GB2312" w:cs="TimesNewRoman"/>
          <w:b/>
          <w:color w:val="auto"/>
          <w:sz w:val="32"/>
          <w:szCs w:val="32"/>
        </w:rPr>
        <w:t>（三）一般公共预算支出具体使用情况。</w:t>
      </w:r>
    </w:p>
    <w:p w14:paraId="092CFB4A">
      <w:pPr>
        <w:adjustRightInd w:val="0"/>
        <w:snapToGrid w:val="0"/>
        <w:spacing w:line="60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lang w:val="en-US" w:eastAsia="zh-CN"/>
        </w:rPr>
        <w:t>1</w:t>
      </w:r>
      <w:r>
        <w:rPr>
          <w:rFonts w:hint="eastAsia" w:ascii="仿宋_GB2312" w:hAnsi="仿宋" w:eastAsia="仿宋_GB2312"/>
          <w:b/>
          <w:color w:val="auto"/>
          <w:sz w:val="32"/>
          <w:szCs w:val="32"/>
        </w:rPr>
        <w:t>.社会保障和就业支出（类）行政事业单位</w:t>
      </w:r>
      <w:r>
        <w:rPr>
          <w:rFonts w:hint="eastAsia" w:ascii="仿宋_GB2312" w:hAnsi="仿宋" w:eastAsia="仿宋_GB2312"/>
          <w:b/>
          <w:color w:val="auto"/>
          <w:sz w:val="32"/>
          <w:szCs w:val="32"/>
          <w:lang w:eastAsia="zh-CN"/>
        </w:rPr>
        <w:t>养老支出</w:t>
      </w:r>
      <w:r>
        <w:rPr>
          <w:rFonts w:hint="eastAsia" w:ascii="仿宋_GB2312" w:hAnsi="仿宋" w:eastAsia="仿宋_GB2312"/>
          <w:b/>
          <w:color w:val="auto"/>
          <w:sz w:val="32"/>
          <w:szCs w:val="32"/>
        </w:rPr>
        <w:t>（款）事业单位离退休（项）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2.86</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2.18</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320.59</w:t>
      </w:r>
      <w:r>
        <w:rPr>
          <w:rFonts w:hint="eastAsia" w:ascii="仿宋_GB2312" w:hAnsi="仿宋" w:eastAsia="仿宋_GB2312"/>
          <w:color w:val="auto"/>
          <w:sz w:val="32"/>
          <w:szCs w:val="32"/>
        </w:rPr>
        <w:t>%，增长原因主要是</w:t>
      </w:r>
      <w:r>
        <w:rPr>
          <w:rFonts w:hint="eastAsia" w:ascii="仿宋_GB2312" w:hAnsi="仿宋" w:eastAsia="仿宋_GB2312"/>
          <w:color w:val="auto"/>
          <w:sz w:val="32"/>
          <w:szCs w:val="32"/>
          <w:lang w:eastAsia="zh-CN"/>
        </w:rPr>
        <w:t>增加了退休人员基础绩效奖金</w:t>
      </w:r>
      <w:r>
        <w:rPr>
          <w:rFonts w:hint="eastAsia" w:ascii="仿宋_GB2312" w:hAnsi="仿宋" w:eastAsia="仿宋_GB2312"/>
          <w:color w:val="auto"/>
          <w:sz w:val="32"/>
          <w:szCs w:val="32"/>
        </w:rPr>
        <w:t>。</w:t>
      </w:r>
    </w:p>
    <w:p w14:paraId="69C72C89">
      <w:pPr>
        <w:adjustRightInd w:val="0"/>
        <w:snapToGrid w:val="0"/>
        <w:spacing w:line="600" w:lineRule="exact"/>
        <w:ind w:firstLine="643" w:firstLineChars="200"/>
        <w:rPr>
          <w:rFonts w:hint="eastAsia" w:ascii="仿宋_GB2312" w:hAnsi="仿宋" w:eastAsia="仿宋_GB2312"/>
          <w:color w:val="auto"/>
          <w:sz w:val="32"/>
          <w:szCs w:val="32"/>
          <w:lang w:eastAsia="zh-CN"/>
        </w:rPr>
      </w:pPr>
      <w:r>
        <w:rPr>
          <w:rFonts w:hint="eastAsia" w:ascii="仿宋_GB2312" w:hAnsi="仿宋" w:eastAsia="仿宋_GB2312"/>
          <w:b/>
          <w:bCs/>
          <w:color w:val="auto"/>
          <w:sz w:val="32"/>
          <w:szCs w:val="32"/>
          <w:lang w:val="en-US" w:eastAsia="zh-CN"/>
        </w:rPr>
        <w:t>2</w:t>
      </w:r>
      <w:r>
        <w:rPr>
          <w:rFonts w:hint="eastAsia" w:ascii="仿宋_GB2312" w:hAnsi="仿宋" w:eastAsia="仿宋_GB2312"/>
          <w:color w:val="auto"/>
          <w:sz w:val="32"/>
          <w:szCs w:val="32"/>
          <w:lang w:val="en-US" w:eastAsia="zh-CN"/>
        </w:rPr>
        <w:t>、</w:t>
      </w:r>
      <w:r>
        <w:rPr>
          <w:rFonts w:hint="eastAsia" w:ascii="仿宋_GB2312" w:hAnsi="仿宋" w:eastAsia="仿宋_GB2312"/>
          <w:b/>
          <w:color w:val="auto"/>
          <w:sz w:val="32"/>
          <w:szCs w:val="32"/>
        </w:rPr>
        <w:t>社会保障和就业支出（类）行政事业单位</w:t>
      </w:r>
      <w:r>
        <w:rPr>
          <w:rFonts w:hint="eastAsia" w:ascii="仿宋_GB2312" w:hAnsi="仿宋" w:eastAsia="仿宋_GB2312"/>
          <w:b/>
          <w:color w:val="auto"/>
          <w:sz w:val="32"/>
          <w:szCs w:val="32"/>
          <w:lang w:eastAsia="zh-CN"/>
        </w:rPr>
        <w:t>养老支出</w:t>
      </w:r>
      <w:r>
        <w:rPr>
          <w:rFonts w:hint="eastAsia" w:ascii="仿宋_GB2312" w:hAnsi="仿宋" w:eastAsia="仿宋_GB2312"/>
          <w:b/>
          <w:color w:val="auto"/>
          <w:sz w:val="32"/>
          <w:szCs w:val="32"/>
        </w:rPr>
        <w:t>（款）机关事业单位基本养老保险缴费支出（项）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8.53</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3.55</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71.29</w:t>
      </w:r>
      <w:r>
        <w:rPr>
          <w:rFonts w:hint="eastAsia" w:ascii="仿宋_GB2312" w:hAnsi="仿宋" w:eastAsia="仿宋_GB2312"/>
          <w:color w:val="auto"/>
          <w:sz w:val="32"/>
          <w:szCs w:val="32"/>
        </w:rPr>
        <w:t>%，增长原因主要是</w:t>
      </w:r>
      <w:r>
        <w:rPr>
          <w:rFonts w:hint="eastAsia" w:ascii="仿宋_GB2312" w:hAnsi="仿宋" w:eastAsia="仿宋_GB2312"/>
          <w:color w:val="auto"/>
          <w:sz w:val="32"/>
          <w:szCs w:val="32"/>
          <w:lang w:eastAsia="zh-CN"/>
        </w:rPr>
        <w:t>养老保险基数调整支出增加（含预留</w:t>
      </w:r>
      <w:r>
        <w:rPr>
          <w:rFonts w:hint="eastAsia" w:ascii="仿宋_GB2312" w:hAnsi="仿宋" w:eastAsia="仿宋_GB2312"/>
          <w:color w:val="auto"/>
          <w:sz w:val="32"/>
          <w:szCs w:val="32"/>
          <w:lang w:val="en-US" w:eastAsia="zh-CN"/>
        </w:rPr>
        <w:t>6%的工资</w:t>
      </w:r>
      <w:r>
        <w:rPr>
          <w:rFonts w:hint="eastAsia" w:ascii="仿宋_GB2312" w:hAnsi="仿宋" w:eastAsia="仿宋_GB2312"/>
          <w:color w:val="auto"/>
          <w:sz w:val="32"/>
          <w:szCs w:val="32"/>
          <w:lang w:eastAsia="zh-CN"/>
        </w:rPr>
        <w:t>）。</w:t>
      </w:r>
    </w:p>
    <w:p w14:paraId="1DBD2069">
      <w:pPr>
        <w:adjustRightInd w:val="0"/>
        <w:snapToGrid w:val="0"/>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3、</w:t>
      </w:r>
      <w:r>
        <w:rPr>
          <w:rFonts w:hint="eastAsia" w:ascii="仿宋_GB2312" w:hAnsi="仿宋" w:eastAsia="仿宋_GB2312"/>
          <w:b/>
          <w:color w:val="auto"/>
          <w:sz w:val="32"/>
          <w:szCs w:val="32"/>
        </w:rPr>
        <w:t>社会保障和就业支出（类）行政事业单位</w:t>
      </w:r>
      <w:r>
        <w:rPr>
          <w:rFonts w:hint="eastAsia" w:ascii="仿宋_GB2312" w:hAnsi="仿宋" w:eastAsia="仿宋_GB2312"/>
          <w:b/>
          <w:color w:val="auto"/>
          <w:sz w:val="32"/>
          <w:szCs w:val="32"/>
          <w:lang w:eastAsia="zh-CN"/>
        </w:rPr>
        <w:t>养老支出</w:t>
      </w:r>
      <w:r>
        <w:rPr>
          <w:rFonts w:hint="eastAsia" w:ascii="仿宋_GB2312" w:hAnsi="仿宋" w:eastAsia="仿宋_GB2312"/>
          <w:b/>
          <w:color w:val="auto"/>
          <w:sz w:val="32"/>
          <w:szCs w:val="32"/>
        </w:rPr>
        <w:t>（款）机关事业单位职业年金缴费支出（项）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4.26</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1.77</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71.08</w:t>
      </w:r>
      <w:r>
        <w:rPr>
          <w:rFonts w:hint="eastAsia" w:ascii="仿宋_GB2312" w:hAnsi="仿宋" w:eastAsia="仿宋_GB2312"/>
          <w:color w:val="auto"/>
          <w:sz w:val="32"/>
          <w:szCs w:val="32"/>
        </w:rPr>
        <w:t>%，增长原因主要是</w:t>
      </w:r>
      <w:r>
        <w:rPr>
          <w:rFonts w:hint="eastAsia" w:ascii="仿宋_GB2312" w:hAnsi="仿宋" w:eastAsia="仿宋_GB2312"/>
          <w:color w:val="auto"/>
          <w:sz w:val="32"/>
          <w:szCs w:val="32"/>
          <w:lang w:eastAsia="zh-CN"/>
        </w:rPr>
        <w:t>职业年金基数调整支出增加（含预留</w:t>
      </w:r>
      <w:r>
        <w:rPr>
          <w:rFonts w:hint="eastAsia" w:ascii="仿宋_GB2312" w:hAnsi="仿宋" w:eastAsia="仿宋_GB2312"/>
          <w:color w:val="auto"/>
          <w:sz w:val="32"/>
          <w:szCs w:val="32"/>
          <w:lang w:val="en-US" w:eastAsia="zh-CN"/>
        </w:rPr>
        <w:t>6%的工资</w:t>
      </w:r>
      <w:r>
        <w:rPr>
          <w:rFonts w:hint="eastAsia" w:ascii="仿宋_GB2312" w:hAnsi="仿宋" w:eastAsia="仿宋_GB2312"/>
          <w:color w:val="auto"/>
          <w:sz w:val="32"/>
          <w:szCs w:val="32"/>
          <w:lang w:eastAsia="zh-CN"/>
        </w:rPr>
        <w:t>）。</w:t>
      </w:r>
    </w:p>
    <w:p w14:paraId="35D1CB19">
      <w:pPr>
        <w:adjustRightInd w:val="0"/>
        <w:snapToGrid w:val="0"/>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4、</w:t>
      </w:r>
      <w:r>
        <w:rPr>
          <w:rFonts w:hint="eastAsia" w:ascii="仿宋_GB2312" w:hAnsi="仿宋" w:eastAsia="仿宋_GB2312"/>
          <w:b/>
          <w:color w:val="auto"/>
          <w:sz w:val="32"/>
          <w:szCs w:val="32"/>
        </w:rPr>
        <w:t>社会保障和就业支出（类）其他社会保障和就业支出（款）其他社会保障和就业支出（项）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0.27</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0.05</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22.72</w:t>
      </w:r>
      <w:r>
        <w:rPr>
          <w:rFonts w:hint="eastAsia" w:ascii="仿宋_GB2312" w:hAnsi="仿宋" w:eastAsia="仿宋_GB2312"/>
          <w:color w:val="auto"/>
          <w:sz w:val="32"/>
          <w:szCs w:val="32"/>
        </w:rPr>
        <w:t>%，增长原因</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rPr>
        <w:t>是</w:t>
      </w:r>
      <w:r>
        <w:rPr>
          <w:rFonts w:hint="eastAsia" w:ascii="仿宋_GB2312" w:hAnsi="仿宋" w:eastAsia="仿宋_GB2312"/>
          <w:color w:val="auto"/>
          <w:sz w:val="32"/>
          <w:szCs w:val="32"/>
          <w:lang w:eastAsia="zh-CN"/>
        </w:rPr>
        <w:t>人员工资调整基数增加；二是在职人员</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lang w:eastAsia="zh-CN"/>
        </w:rPr>
        <w:t>招考增加</w:t>
      </w:r>
      <w:r>
        <w:rPr>
          <w:rFonts w:hint="eastAsia" w:ascii="仿宋_GB2312" w:hAnsi="仿宋" w:eastAsia="仿宋_GB2312"/>
          <w:color w:val="auto"/>
          <w:sz w:val="32"/>
          <w:szCs w:val="32"/>
          <w:lang w:val="en-US" w:eastAsia="zh-CN"/>
        </w:rPr>
        <w:t>1人，2023年预算支出增加</w:t>
      </w:r>
      <w:r>
        <w:rPr>
          <w:rFonts w:hint="eastAsia" w:ascii="仿宋_GB2312" w:hAnsi="仿宋" w:eastAsia="仿宋_GB2312"/>
          <w:color w:val="auto"/>
          <w:sz w:val="32"/>
          <w:szCs w:val="32"/>
          <w:lang w:eastAsia="zh-CN"/>
        </w:rPr>
        <w:t>。</w:t>
      </w:r>
    </w:p>
    <w:p w14:paraId="7E37A6E6">
      <w:pPr>
        <w:adjustRightInd w:val="0"/>
        <w:snapToGrid w:val="0"/>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5、</w:t>
      </w:r>
      <w:r>
        <w:rPr>
          <w:rFonts w:hint="eastAsia" w:ascii="仿宋_GB2312" w:hAnsi="仿宋" w:eastAsia="仿宋_GB2312"/>
          <w:b/>
          <w:bCs/>
          <w:color w:val="auto"/>
          <w:sz w:val="32"/>
          <w:szCs w:val="32"/>
          <w:lang w:val="en-US" w:eastAsia="zh-CN"/>
        </w:rPr>
        <w:t>卫生健康支出</w:t>
      </w:r>
      <w:r>
        <w:rPr>
          <w:rFonts w:hint="eastAsia" w:ascii="仿宋_GB2312" w:hAnsi="仿宋" w:eastAsia="仿宋_GB2312"/>
          <w:b/>
          <w:color w:val="auto"/>
          <w:sz w:val="32"/>
          <w:szCs w:val="32"/>
        </w:rPr>
        <w:t>（类）</w:t>
      </w:r>
      <w:r>
        <w:rPr>
          <w:rFonts w:hint="eastAsia" w:ascii="仿宋_GB2312" w:hAnsi="仿宋" w:eastAsia="仿宋_GB2312"/>
          <w:b/>
          <w:color w:val="auto"/>
          <w:sz w:val="32"/>
          <w:szCs w:val="32"/>
          <w:lang w:eastAsia="zh-CN"/>
        </w:rPr>
        <w:t>行政事业单位医疗</w:t>
      </w:r>
      <w:r>
        <w:rPr>
          <w:rFonts w:hint="eastAsia" w:ascii="仿宋_GB2312" w:hAnsi="仿宋" w:eastAsia="仿宋_GB2312"/>
          <w:b/>
          <w:color w:val="auto"/>
          <w:sz w:val="32"/>
          <w:szCs w:val="32"/>
        </w:rPr>
        <w:t>（款）</w:t>
      </w:r>
      <w:r>
        <w:rPr>
          <w:rFonts w:hint="eastAsia" w:ascii="仿宋_GB2312" w:hAnsi="仿宋" w:eastAsia="仿宋_GB2312"/>
          <w:b/>
          <w:color w:val="auto"/>
          <w:sz w:val="32"/>
          <w:szCs w:val="32"/>
          <w:lang w:eastAsia="zh-CN"/>
        </w:rPr>
        <w:t>事业单位医疗</w:t>
      </w:r>
      <w:r>
        <w:rPr>
          <w:rFonts w:hint="eastAsia" w:ascii="仿宋_GB2312" w:hAnsi="仿宋" w:eastAsia="仿宋_GB2312"/>
          <w:b/>
          <w:color w:val="auto"/>
          <w:sz w:val="32"/>
          <w:szCs w:val="32"/>
        </w:rPr>
        <w:t>（项）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4.56</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1.94</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74.05</w:t>
      </w:r>
      <w:r>
        <w:rPr>
          <w:rFonts w:hint="eastAsia" w:ascii="仿宋_GB2312" w:hAnsi="仿宋" w:eastAsia="仿宋_GB2312"/>
          <w:color w:val="auto"/>
          <w:sz w:val="32"/>
          <w:szCs w:val="32"/>
        </w:rPr>
        <w:t>%，增长原因主要</w:t>
      </w:r>
      <w:r>
        <w:rPr>
          <w:rFonts w:hint="eastAsia" w:ascii="仿宋_GB2312" w:hAnsi="仿宋" w:eastAsia="仿宋_GB2312"/>
          <w:color w:val="auto"/>
          <w:sz w:val="32"/>
          <w:szCs w:val="32"/>
          <w:lang w:eastAsia="zh-CN"/>
        </w:rPr>
        <w:t>在职人员工资普调基数调整及在职人员增加</w:t>
      </w:r>
      <w:r>
        <w:rPr>
          <w:rFonts w:hint="eastAsia" w:ascii="仿宋_GB2312" w:hAnsi="仿宋" w:eastAsia="仿宋_GB2312"/>
          <w:color w:val="auto"/>
          <w:sz w:val="32"/>
          <w:szCs w:val="32"/>
          <w:lang w:val="en-US" w:eastAsia="zh-CN"/>
        </w:rPr>
        <w:t>1人，预算支出增加</w:t>
      </w:r>
      <w:r>
        <w:rPr>
          <w:rFonts w:hint="eastAsia" w:ascii="仿宋_GB2312" w:hAnsi="仿宋" w:eastAsia="仿宋_GB2312"/>
          <w:color w:val="auto"/>
          <w:sz w:val="32"/>
          <w:szCs w:val="32"/>
          <w:lang w:eastAsia="zh-CN"/>
        </w:rPr>
        <w:t>。</w:t>
      </w:r>
    </w:p>
    <w:p w14:paraId="4B1438FC">
      <w:pPr>
        <w:adjustRightInd w:val="0"/>
        <w:snapToGrid w:val="0"/>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6、</w:t>
      </w:r>
      <w:r>
        <w:rPr>
          <w:rFonts w:hint="eastAsia" w:ascii="仿宋_GB2312" w:hAnsi="仿宋" w:eastAsia="仿宋_GB2312"/>
          <w:b/>
          <w:bCs/>
          <w:color w:val="auto"/>
          <w:sz w:val="32"/>
          <w:szCs w:val="32"/>
          <w:lang w:val="en-US" w:eastAsia="zh-CN"/>
        </w:rPr>
        <w:t>卫生健康支出</w:t>
      </w:r>
      <w:r>
        <w:rPr>
          <w:rFonts w:hint="eastAsia" w:ascii="仿宋_GB2312" w:hAnsi="仿宋" w:eastAsia="仿宋_GB2312"/>
          <w:b/>
          <w:color w:val="auto"/>
          <w:sz w:val="32"/>
          <w:szCs w:val="32"/>
        </w:rPr>
        <w:t>（类）</w:t>
      </w:r>
      <w:r>
        <w:rPr>
          <w:rFonts w:hint="eastAsia" w:ascii="仿宋_GB2312" w:hAnsi="仿宋" w:eastAsia="仿宋_GB2312"/>
          <w:b/>
          <w:color w:val="auto"/>
          <w:sz w:val="32"/>
          <w:szCs w:val="32"/>
          <w:lang w:eastAsia="zh-CN"/>
        </w:rPr>
        <w:t>行政事业单位医疗</w:t>
      </w:r>
      <w:r>
        <w:rPr>
          <w:rFonts w:hint="eastAsia" w:ascii="仿宋_GB2312" w:hAnsi="仿宋" w:eastAsia="仿宋_GB2312"/>
          <w:b/>
          <w:color w:val="auto"/>
          <w:sz w:val="32"/>
          <w:szCs w:val="32"/>
        </w:rPr>
        <w:t>（款）</w:t>
      </w:r>
      <w:r>
        <w:rPr>
          <w:rFonts w:hint="eastAsia" w:ascii="仿宋_GB2312" w:hAnsi="仿宋" w:eastAsia="仿宋_GB2312"/>
          <w:b/>
          <w:color w:val="auto"/>
          <w:sz w:val="32"/>
          <w:szCs w:val="32"/>
          <w:lang w:eastAsia="zh-CN"/>
        </w:rPr>
        <w:t>公务员医疗补助</w:t>
      </w:r>
      <w:r>
        <w:rPr>
          <w:rFonts w:hint="eastAsia" w:ascii="仿宋_GB2312" w:hAnsi="仿宋" w:eastAsia="仿宋_GB2312"/>
          <w:b/>
          <w:color w:val="auto"/>
          <w:sz w:val="32"/>
          <w:szCs w:val="32"/>
        </w:rPr>
        <w:t>（项）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1.33</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0.23</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20.91</w:t>
      </w:r>
      <w:r>
        <w:rPr>
          <w:rFonts w:hint="eastAsia" w:ascii="仿宋_GB2312" w:hAnsi="仿宋" w:eastAsia="仿宋_GB2312"/>
          <w:color w:val="auto"/>
          <w:sz w:val="32"/>
          <w:szCs w:val="32"/>
        </w:rPr>
        <w:t>%，增长原因主要</w:t>
      </w:r>
      <w:r>
        <w:rPr>
          <w:rFonts w:hint="eastAsia" w:ascii="仿宋_GB2312" w:hAnsi="仿宋" w:eastAsia="仿宋_GB2312"/>
          <w:color w:val="auto"/>
          <w:sz w:val="32"/>
          <w:szCs w:val="32"/>
          <w:lang w:eastAsia="zh-CN"/>
        </w:rPr>
        <w:t>在职人员工资普调基数调整及在职人员增加</w:t>
      </w:r>
      <w:r>
        <w:rPr>
          <w:rFonts w:hint="eastAsia" w:ascii="仿宋_GB2312" w:hAnsi="仿宋" w:eastAsia="仿宋_GB2312"/>
          <w:color w:val="auto"/>
          <w:sz w:val="32"/>
          <w:szCs w:val="32"/>
          <w:lang w:val="en-US" w:eastAsia="zh-CN"/>
        </w:rPr>
        <w:t>1人，预算支出增加</w:t>
      </w:r>
      <w:r>
        <w:rPr>
          <w:rFonts w:hint="eastAsia" w:ascii="仿宋_GB2312" w:hAnsi="仿宋" w:eastAsia="仿宋_GB2312"/>
          <w:color w:val="auto"/>
          <w:sz w:val="32"/>
          <w:szCs w:val="32"/>
          <w:lang w:eastAsia="zh-CN"/>
        </w:rPr>
        <w:t>。</w:t>
      </w:r>
    </w:p>
    <w:p w14:paraId="5A7005EF">
      <w:pPr>
        <w:adjustRightInd w:val="0"/>
        <w:snapToGrid w:val="0"/>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7、</w:t>
      </w:r>
      <w:r>
        <w:rPr>
          <w:rFonts w:hint="eastAsia" w:ascii="仿宋_GB2312" w:hAnsi="仿宋" w:eastAsia="仿宋_GB2312"/>
          <w:b/>
          <w:bCs/>
          <w:color w:val="auto"/>
          <w:sz w:val="32"/>
          <w:szCs w:val="32"/>
          <w:lang w:val="en-US" w:eastAsia="zh-CN"/>
        </w:rPr>
        <w:t>农林水支出</w:t>
      </w:r>
      <w:r>
        <w:rPr>
          <w:rFonts w:hint="eastAsia" w:ascii="仿宋_GB2312" w:hAnsi="仿宋" w:eastAsia="仿宋_GB2312"/>
          <w:b/>
          <w:color w:val="auto"/>
          <w:sz w:val="32"/>
          <w:szCs w:val="32"/>
        </w:rPr>
        <w:t>（类）</w:t>
      </w:r>
      <w:r>
        <w:rPr>
          <w:rFonts w:hint="eastAsia" w:ascii="仿宋_GB2312" w:hAnsi="仿宋" w:eastAsia="仿宋_GB2312"/>
          <w:b/>
          <w:color w:val="auto"/>
          <w:sz w:val="32"/>
          <w:szCs w:val="32"/>
          <w:lang w:eastAsia="zh-CN"/>
        </w:rPr>
        <w:t>水利</w:t>
      </w:r>
      <w:r>
        <w:rPr>
          <w:rFonts w:hint="eastAsia" w:ascii="仿宋_GB2312" w:hAnsi="仿宋" w:eastAsia="仿宋_GB2312"/>
          <w:b/>
          <w:color w:val="auto"/>
          <w:sz w:val="32"/>
          <w:szCs w:val="32"/>
        </w:rPr>
        <w:t>（款）</w:t>
      </w:r>
      <w:r>
        <w:rPr>
          <w:rFonts w:hint="eastAsia" w:ascii="仿宋_GB2312" w:hAnsi="仿宋" w:eastAsia="仿宋_GB2312"/>
          <w:b/>
          <w:color w:val="auto"/>
          <w:sz w:val="32"/>
          <w:szCs w:val="32"/>
          <w:lang w:eastAsia="zh-CN"/>
        </w:rPr>
        <w:t>水利行业业务管理</w:t>
      </w:r>
      <w:r>
        <w:rPr>
          <w:rFonts w:hint="eastAsia" w:ascii="仿宋_GB2312" w:hAnsi="仿宋" w:eastAsia="仿宋_GB2312"/>
          <w:b/>
          <w:color w:val="auto"/>
          <w:sz w:val="32"/>
          <w:szCs w:val="32"/>
        </w:rPr>
        <w:t>（项）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105.41</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31.81</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43.22</w:t>
      </w:r>
      <w:r>
        <w:rPr>
          <w:rFonts w:hint="eastAsia" w:ascii="仿宋_GB2312" w:hAnsi="仿宋" w:eastAsia="仿宋_GB2312"/>
          <w:color w:val="auto"/>
          <w:sz w:val="32"/>
          <w:szCs w:val="32"/>
        </w:rPr>
        <w:t>%，增长原因主要</w:t>
      </w:r>
      <w:r>
        <w:rPr>
          <w:rFonts w:hint="eastAsia" w:ascii="仿宋_GB2312" w:hAnsi="仿宋" w:eastAsia="仿宋_GB2312"/>
          <w:color w:val="auto"/>
          <w:sz w:val="32"/>
          <w:szCs w:val="32"/>
          <w:lang w:eastAsia="zh-CN"/>
        </w:rPr>
        <w:t>本年增加了在职人员基础绩效奖金支出及增加了职工</w:t>
      </w:r>
      <w:r>
        <w:rPr>
          <w:rFonts w:hint="eastAsia" w:ascii="仿宋_GB2312" w:hAnsi="仿宋" w:eastAsia="仿宋_GB2312"/>
          <w:color w:val="auto"/>
          <w:sz w:val="32"/>
          <w:szCs w:val="32"/>
          <w:lang w:val="en-US" w:eastAsia="zh-CN"/>
        </w:rPr>
        <w:t>6%预留增资部分支出；2022年招考</w:t>
      </w:r>
      <w:r>
        <w:rPr>
          <w:rFonts w:hint="eastAsia" w:ascii="仿宋_GB2312" w:hAnsi="仿宋" w:eastAsia="仿宋_GB2312"/>
          <w:color w:val="auto"/>
          <w:sz w:val="32"/>
          <w:szCs w:val="32"/>
          <w:lang w:eastAsia="zh-CN"/>
        </w:rPr>
        <w:t>新增</w:t>
      </w:r>
      <w:r>
        <w:rPr>
          <w:rFonts w:hint="eastAsia" w:ascii="仿宋_GB2312" w:hAnsi="仿宋" w:eastAsia="仿宋_GB2312"/>
          <w:color w:val="auto"/>
          <w:sz w:val="32"/>
          <w:szCs w:val="32"/>
          <w:lang w:val="en-US" w:eastAsia="zh-CN"/>
        </w:rPr>
        <w:t>1人，2023年预算支出增加；</w:t>
      </w:r>
    </w:p>
    <w:p w14:paraId="66974388">
      <w:pPr>
        <w:adjustRightInd w:val="0"/>
        <w:snapToGrid w:val="0"/>
        <w:spacing w:line="600" w:lineRule="exact"/>
        <w:ind w:firstLine="643" w:firstLineChars="200"/>
        <w:rPr>
          <w:rFonts w:hint="default" w:ascii="仿宋_GB2312" w:hAnsi="仿宋" w:eastAsia="仿宋_GB2312"/>
          <w:color w:val="auto"/>
          <w:sz w:val="32"/>
          <w:szCs w:val="32"/>
          <w:lang w:val="en-US" w:eastAsia="zh-CN"/>
        </w:rPr>
      </w:pPr>
      <w:r>
        <w:rPr>
          <w:rFonts w:hint="eastAsia" w:ascii="仿宋_GB2312" w:hAnsi="仿宋" w:eastAsia="仿宋_GB2312"/>
          <w:b/>
          <w:color w:val="auto"/>
          <w:sz w:val="32"/>
          <w:szCs w:val="32"/>
          <w:lang w:val="en-US" w:eastAsia="zh-CN"/>
        </w:rPr>
        <w:t>8</w:t>
      </w:r>
      <w:r>
        <w:rPr>
          <w:rFonts w:hint="eastAsia" w:ascii="仿宋_GB2312" w:hAnsi="仿宋" w:eastAsia="仿宋_GB2312"/>
          <w:b/>
          <w:color w:val="auto"/>
          <w:sz w:val="32"/>
          <w:szCs w:val="32"/>
        </w:rPr>
        <w:t>.住房保障支出（类）住房改革支出（款）住房公积金（项）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7.80</w:t>
      </w:r>
      <w:r>
        <w:rPr>
          <w:rFonts w:hint="eastAsia" w:ascii="仿宋_GB2312" w:hAnsi="仿宋" w:eastAsia="仿宋_GB2312"/>
          <w:color w:val="auto"/>
          <w:sz w:val="32"/>
          <w:szCs w:val="32"/>
        </w:rPr>
        <w:t>万元，比202年预算增加</w:t>
      </w:r>
      <w:r>
        <w:rPr>
          <w:rFonts w:hint="eastAsia" w:ascii="仿宋_GB2312" w:hAnsi="仿宋" w:eastAsia="仿宋_GB2312"/>
          <w:color w:val="auto"/>
          <w:sz w:val="32"/>
          <w:szCs w:val="32"/>
          <w:lang w:val="en-US" w:eastAsia="zh-CN"/>
        </w:rPr>
        <w:t>2.26</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40.79</w:t>
      </w:r>
      <w:r>
        <w:rPr>
          <w:rFonts w:hint="eastAsia" w:ascii="仿宋_GB2312" w:hAnsi="仿宋" w:eastAsia="仿宋_GB2312"/>
          <w:color w:val="auto"/>
          <w:sz w:val="32"/>
          <w:szCs w:val="32"/>
        </w:rPr>
        <w:t>%，增长原因</w:t>
      </w:r>
      <w:r>
        <w:rPr>
          <w:rFonts w:hint="eastAsia" w:ascii="仿宋_GB2312" w:hAnsi="仿宋" w:eastAsia="仿宋_GB2312"/>
          <w:color w:val="auto"/>
          <w:sz w:val="32"/>
          <w:szCs w:val="32"/>
          <w:lang w:eastAsia="zh-CN"/>
        </w:rPr>
        <w:t>：一是人员工资基数调整（含预留</w:t>
      </w:r>
      <w:r>
        <w:rPr>
          <w:rFonts w:hint="eastAsia" w:ascii="仿宋_GB2312" w:hAnsi="仿宋" w:eastAsia="仿宋_GB2312"/>
          <w:color w:val="auto"/>
          <w:sz w:val="32"/>
          <w:szCs w:val="32"/>
          <w:lang w:val="en-US" w:eastAsia="zh-CN"/>
        </w:rPr>
        <w:t>6%的工资</w:t>
      </w:r>
      <w:r>
        <w:rPr>
          <w:rFonts w:hint="eastAsia" w:ascii="仿宋_GB2312" w:hAnsi="仿宋" w:eastAsia="仿宋_GB2312"/>
          <w:color w:val="auto"/>
          <w:sz w:val="32"/>
          <w:szCs w:val="32"/>
          <w:lang w:eastAsia="zh-CN"/>
        </w:rPr>
        <w:t>）；二是在职人员增加。</w:t>
      </w:r>
    </w:p>
    <w:p w14:paraId="00CBDD65">
      <w:pPr>
        <w:adjustRightInd w:val="0"/>
        <w:snapToGrid w:val="0"/>
        <w:spacing w:line="600" w:lineRule="exact"/>
        <w:ind w:firstLine="643" w:firstLineChars="200"/>
        <w:rPr>
          <w:rFonts w:hint="default" w:ascii="仿宋_GB2312" w:hAnsi="仿宋" w:eastAsia="仿宋_GB2312"/>
          <w:color w:val="auto"/>
          <w:sz w:val="32"/>
          <w:szCs w:val="32"/>
          <w:lang w:val="en-US" w:eastAsia="zh-CN"/>
        </w:rPr>
      </w:pPr>
      <w:r>
        <w:rPr>
          <w:rFonts w:hint="eastAsia" w:ascii="仿宋_GB2312" w:hAnsi="仿宋" w:eastAsia="仿宋_GB2312"/>
          <w:b/>
          <w:color w:val="auto"/>
          <w:sz w:val="32"/>
          <w:szCs w:val="32"/>
          <w:lang w:val="en-US" w:eastAsia="zh-CN"/>
        </w:rPr>
        <w:t>9</w:t>
      </w:r>
      <w:r>
        <w:rPr>
          <w:rFonts w:hint="eastAsia" w:ascii="仿宋_GB2312" w:hAnsi="仿宋" w:eastAsia="仿宋_GB2312"/>
          <w:b/>
          <w:color w:val="auto"/>
          <w:sz w:val="32"/>
          <w:szCs w:val="32"/>
        </w:rPr>
        <w:t>.住房保障支出（类）住房改革支出（款）</w:t>
      </w:r>
      <w:r>
        <w:rPr>
          <w:rFonts w:hint="eastAsia" w:ascii="仿宋_GB2312" w:hAnsi="仿宋" w:eastAsia="仿宋_GB2312"/>
          <w:b/>
          <w:color w:val="auto"/>
          <w:sz w:val="32"/>
          <w:szCs w:val="32"/>
          <w:lang w:eastAsia="zh-CN"/>
        </w:rPr>
        <w:t>购房补贴</w:t>
      </w:r>
      <w:r>
        <w:rPr>
          <w:rFonts w:hint="eastAsia" w:ascii="仿宋_GB2312" w:hAnsi="仿宋" w:eastAsia="仿宋_GB2312"/>
          <w:b/>
          <w:color w:val="auto"/>
          <w:sz w:val="32"/>
          <w:szCs w:val="32"/>
        </w:rPr>
        <w:t>（项）</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3.25</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0.94</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40.69</w:t>
      </w:r>
      <w:r>
        <w:rPr>
          <w:rFonts w:hint="eastAsia" w:ascii="仿宋_GB2312" w:hAnsi="仿宋" w:eastAsia="仿宋_GB2312"/>
          <w:color w:val="auto"/>
          <w:sz w:val="32"/>
          <w:szCs w:val="32"/>
        </w:rPr>
        <w:t>%，增长原因</w:t>
      </w:r>
      <w:r>
        <w:rPr>
          <w:rFonts w:hint="eastAsia" w:ascii="仿宋_GB2312" w:hAnsi="仿宋" w:eastAsia="仿宋_GB2312"/>
          <w:color w:val="auto"/>
          <w:sz w:val="32"/>
          <w:szCs w:val="32"/>
          <w:lang w:eastAsia="zh-CN"/>
        </w:rPr>
        <w:t>：一是人员工资基数调整（含预留</w:t>
      </w:r>
      <w:r>
        <w:rPr>
          <w:rFonts w:hint="eastAsia" w:ascii="仿宋_GB2312" w:hAnsi="仿宋" w:eastAsia="仿宋_GB2312"/>
          <w:color w:val="auto"/>
          <w:sz w:val="32"/>
          <w:szCs w:val="32"/>
          <w:lang w:val="en-US" w:eastAsia="zh-CN"/>
        </w:rPr>
        <w:t>6%的工资</w:t>
      </w:r>
      <w:r>
        <w:rPr>
          <w:rFonts w:hint="eastAsia" w:ascii="仿宋_GB2312" w:hAnsi="仿宋" w:eastAsia="仿宋_GB2312"/>
          <w:color w:val="auto"/>
          <w:sz w:val="32"/>
          <w:szCs w:val="32"/>
          <w:lang w:eastAsia="zh-CN"/>
        </w:rPr>
        <w:t>）；二是在职人员增加。</w:t>
      </w:r>
    </w:p>
    <w:p w14:paraId="212CB0EB">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六、关于2023年一般公共预算基本支出表的说明</w:t>
      </w:r>
    </w:p>
    <w:p w14:paraId="2FD39A23">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2023年一般公共预算基本支出</w:t>
      </w:r>
      <w:r>
        <w:rPr>
          <w:rFonts w:hint="eastAsia" w:ascii="TimesNewRoman" w:hAnsi="TimesNewRoman" w:eastAsia="仿宋_GB2312" w:cs="TimesNewRoman"/>
          <w:color w:val="auto"/>
          <w:kern w:val="0"/>
          <w:sz w:val="32"/>
          <w:szCs w:val="32"/>
          <w:lang w:val="en-US" w:eastAsia="zh-CN"/>
        </w:rPr>
        <w:t>98.94</w:t>
      </w:r>
      <w:r>
        <w:rPr>
          <w:rFonts w:hint="eastAsia" w:ascii="TimesNewRoman" w:hAnsi="TimesNewRoman" w:eastAsia="仿宋_GB2312" w:cs="TimesNewRoman"/>
          <w:color w:val="auto"/>
          <w:kern w:val="0"/>
          <w:sz w:val="32"/>
          <w:szCs w:val="32"/>
        </w:rPr>
        <w:t>万元，其中，人员经费</w:t>
      </w:r>
      <w:r>
        <w:rPr>
          <w:rFonts w:hint="eastAsia" w:ascii="TimesNewRoman" w:hAnsi="TimesNewRoman" w:eastAsia="仿宋_GB2312" w:cs="TimesNewRoman"/>
          <w:color w:val="auto"/>
          <w:kern w:val="0"/>
          <w:sz w:val="32"/>
          <w:szCs w:val="32"/>
          <w:lang w:val="en-US" w:eastAsia="zh-CN"/>
        </w:rPr>
        <w:t>88.94</w:t>
      </w:r>
      <w:r>
        <w:rPr>
          <w:rFonts w:hint="eastAsia" w:ascii="TimesNewRoman" w:hAnsi="TimesNewRoman" w:eastAsia="仿宋_GB2312" w:cs="TimesNewRoman"/>
          <w:color w:val="auto"/>
          <w:kern w:val="0"/>
          <w:sz w:val="32"/>
          <w:szCs w:val="32"/>
        </w:rPr>
        <w:t>万元，公用经费</w:t>
      </w:r>
      <w:r>
        <w:rPr>
          <w:rFonts w:hint="eastAsia" w:ascii="TimesNewRoman" w:hAnsi="TimesNewRoman" w:eastAsia="仿宋_GB2312" w:cs="TimesNewRoman"/>
          <w:color w:val="auto"/>
          <w:kern w:val="0"/>
          <w:sz w:val="32"/>
          <w:szCs w:val="32"/>
          <w:lang w:val="en-US" w:eastAsia="zh-CN"/>
        </w:rPr>
        <w:t>10</w:t>
      </w:r>
      <w:r>
        <w:rPr>
          <w:rFonts w:hint="eastAsia" w:ascii="TimesNewRoman" w:hAnsi="TimesNewRoman" w:eastAsia="仿宋_GB2312" w:cs="TimesNewRoman"/>
          <w:color w:val="auto"/>
          <w:kern w:val="0"/>
          <w:sz w:val="32"/>
          <w:szCs w:val="32"/>
        </w:rPr>
        <w:t>万元。</w:t>
      </w:r>
    </w:p>
    <w:p w14:paraId="61E9F23A">
      <w:pPr>
        <w:ind w:firstLine="643"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b/>
          <w:color w:val="auto"/>
          <w:kern w:val="0"/>
          <w:sz w:val="32"/>
          <w:szCs w:val="32"/>
        </w:rPr>
        <w:t>（一）人员经费</w:t>
      </w:r>
      <w:r>
        <w:rPr>
          <w:rFonts w:hint="eastAsia" w:ascii="TimesNewRoman" w:hAnsi="TimesNewRoman" w:eastAsia="仿宋_GB2312" w:cs="TimesNewRoman"/>
          <w:b/>
          <w:color w:val="auto"/>
          <w:kern w:val="0"/>
          <w:sz w:val="32"/>
          <w:szCs w:val="32"/>
          <w:lang w:val="en-US" w:eastAsia="zh-CN"/>
        </w:rPr>
        <w:t>88.94</w:t>
      </w:r>
      <w:r>
        <w:rPr>
          <w:rFonts w:hint="eastAsia" w:ascii="TimesNewRoman" w:hAnsi="TimesNewRoman" w:eastAsia="仿宋_GB2312" w:cs="TimesNewRoman"/>
          <w:b/>
          <w:color w:val="auto"/>
          <w:kern w:val="0"/>
          <w:sz w:val="32"/>
          <w:szCs w:val="32"/>
        </w:rPr>
        <w:t>万元，</w:t>
      </w:r>
      <w:r>
        <w:rPr>
          <w:rFonts w:hint="eastAsia" w:ascii="TimesNewRoman" w:hAnsi="TimesNewRoman" w:eastAsia="仿宋_GB2312" w:cs="TimesNewRoman"/>
          <w:color w:val="auto"/>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退休费、医疗费补助、对其他个人和家庭的补助支出。</w:t>
      </w:r>
    </w:p>
    <w:p w14:paraId="4ED6F726">
      <w:pPr>
        <w:ind w:firstLine="643"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b/>
          <w:color w:val="auto"/>
          <w:kern w:val="0"/>
          <w:sz w:val="32"/>
          <w:szCs w:val="32"/>
        </w:rPr>
        <w:t>（二）公用经费</w:t>
      </w:r>
      <w:r>
        <w:rPr>
          <w:rFonts w:hint="eastAsia" w:ascii="TimesNewRoman" w:hAnsi="TimesNewRoman" w:eastAsia="仿宋_GB2312" w:cs="TimesNewRoman"/>
          <w:b/>
          <w:color w:val="auto"/>
          <w:kern w:val="0"/>
          <w:sz w:val="32"/>
          <w:szCs w:val="32"/>
          <w:lang w:val="en-US" w:eastAsia="zh-CN"/>
        </w:rPr>
        <w:t>10</w:t>
      </w:r>
      <w:r>
        <w:rPr>
          <w:rFonts w:hint="eastAsia" w:ascii="TimesNewRoman" w:hAnsi="TimesNewRoman" w:eastAsia="仿宋_GB2312" w:cs="TimesNewRoman"/>
          <w:b/>
          <w:color w:val="auto"/>
          <w:kern w:val="0"/>
          <w:sz w:val="32"/>
          <w:szCs w:val="32"/>
        </w:rPr>
        <w:t>万元，</w:t>
      </w:r>
      <w:r>
        <w:rPr>
          <w:rFonts w:hint="eastAsia" w:ascii="TimesNewRoman" w:hAnsi="TimesNewRoman" w:eastAsia="仿宋_GB2312" w:cs="TimesNewRoman"/>
          <w:color w:val="auto"/>
          <w:kern w:val="0"/>
          <w:sz w:val="32"/>
          <w:szCs w:val="32"/>
        </w:rPr>
        <w:t>主要包括：</w:t>
      </w:r>
      <w:r>
        <w:rPr>
          <w:rFonts w:hint="eastAsia" w:ascii="TimesNewRoman" w:hAnsi="TimesNewRoman" w:eastAsia="仿宋_GB2312" w:cs="TimesNewRoman"/>
          <w:color w:val="auto"/>
          <w:kern w:val="0"/>
          <w:sz w:val="32"/>
          <w:szCs w:val="32"/>
          <w:lang w:eastAsia="zh-CN"/>
        </w:rPr>
        <w:t>差旅费、</w:t>
      </w:r>
      <w:r>
        <w:rPr>
          <w:rFonts w:hint="eastAsia" w:ascii="仿宋_GB2312" w:hAnsi="仿宋" w:eastAsia="仿宋_GB2312"/>
          <w:color w:val="auto"/>
          <w:sz w:val="32"/>
          <w:szCs w:val="32"/>
          <w:lang w:eastAsia="zh-CN"/>
        </w:rPr>
        <w:t>公车运行维修维护费</w:t>
      </w:r>
      <w:r>
        <w:rPr>
          <w:rFonts w:hint="eastAsia" w:ascii="TimesNewRoman" w:hAnsi="TimesNewRoman" w:eastAsia="仿宋_GB2312" w:cs="TimesNewRoman"/>
          <w:color w:val="auto"/>
          <w:kern w:val="0"/>
          <w:sz w:val="32"/>
          <w:szCs w:val="32"/>
        </w:rPr>
        <w:t>、其他商品服务支出</w:t>
      </w:r>
      <w:r>
        <w:rPr>
          <w:rFonts w:hint="eastAsia" w:ascii="TimesNewRoman" w:hAnsi="TimesNewRoman" w:eastAsia="仿宋_GB2312" w:cs="TimesNewRoman"/>
          <w:color w:val="auto"/>
          <w:kern w:val="0"/>
          <w:sz w:val="32"/>
          <w:szCs w:val="32"/>
          <w:lang w:eastAsia="zh-CN"/>
        </w:rPr>
        <w:t>等。</w:t>
      </w:r>
    </w:p>
    <w:p w14:paraId="3612102B">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七、关于2023年政府性基金预算支出表的说明</w:t>
      </w:r>
    </w:p>
    <w:p w14:paraId="41DB89EA">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2023年没有政府性基金预算拨款收入，也没有使用政府性基金预算拨款安排的支出。</w:t>
      </w:r>
    </w:p>
    <w:p w14:paraId="4C02A08D">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八、关于2023年国有资本经营预算支出表的说明</w:t>
      </w:r>
    </w:p>
    <w:p w14:paraId="47A1E01C">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2023年没有国有资本经营预算拨款收入，也没有使用国有资本经营预算拨款安排的支出。</w:t>
      </w:r>
    </w:p>
    <w:p w14:paraId="409273B5">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九、关于2023年项目支出表的说明</w:t>
      </w:r>
    </w:p>
    <w:p w14:paraId="2838D1D9">
      <w:pPr>
        <w:adjustRightInd w:val="0"/>
        <w:snapToGrid w:val="0"/>
        <w:spacing w:line="600" w:lineRule="exact"/>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2023年预算共安排项目支出</w:t>
      </w:r>
      <w:r>
        <w:rPr>
          <w:rFonts w:hint="eastAsia" w:ascii="TimesNewRoman" w:hAnsi="TimesNewRoman" w:eastAsia="仿宋_GB2312" w:cs="TimesNewRoman"/>
          <w:color w:val="auto"/>
          <w:kern w:val="0"/>
          <w:sz w:val="32"/>
          <w:szCs w:val="32"/>
          <w:lang w:val="en-US" w:eastAsia="zh-CN"/>
        </w:rPr>
        <w:t>38</w:t>
      </w:r>
      <w:r>
        <w:rPr>
          <w:rFonts w:hint="eastAsia" w:ascii="TimesNewRoman" w:hAnsi="TimesNewRoman" w:eastAsia="仿宋_GB2312" w:cs="TimesNewRoman"/>
          <w:color w:val="auto"/>
          <w:kern w:val="0"/>
          <w:sz w:val="32"/>
          <w:szCs w:val="32"/>
        </w:rPr>
        <w:t>万元，比2022年预算增加</w:t>
      </w:r>
      <w:r>
        <w:rPr>
          <w:rFonts w:hint="eastAsia" w:ascii="TimesNewRoman" w:hAnsi="TimesNewRoman" w:eastAsia="仿宋_GB2312" w:cs="TimesNewRoman"/>
          <w:color w:val="auto"/>
          <w:kern w:val="0"/>
          <w:sz w:val="32"/>
          <w:szCs w:val="32"/>
          <w:lang w:val="en-US" w:eastAsia="zh-CN"/>
        </w:rPr>
        <w:t>23.61</w:t>
      </w:r>
      <w:r>
        <w:rPr>
          <w:rFonts w:hint="eastAsia" w:ascii="TimesNewRoman" w:hAnsi="TimesNewRoman" w:eastAsia="仿宋_GB2312" w:cs="TimesNewRoman"/>
          <w:color w:val="auto"/>
          <w:kern w:val="0"/>
          <w:sz w:val="32"/>
          <w:szCs w:val="32"/>
        </w:rPr>
        <w:t>万元，增长</w:t>
      </w:r>
      <w:r>
        <w:rPr>
          <w:rFonts w:hint="eastAsia" w:ascii="TimesNewRoman" w:hAnsi="TimesNewRoman" w:eastAsia="仿宋_GB2312" w:cs="TimesNewRoman"/>
          <w:color w:val="auto"/>
          <w:kern w:val="0"/>
          <w:sz w:val="32"/>
          <w:szCs w:val="32"/>
          <w:lang w:val="en-US" w:eastAsia="zh-CN"/>
        </w:rPr>
        <w:t>164.07</w:t>
      </w:r>
      <w:r>
        <w:rPr>
          <w:rFonts w:hint="eastAsia" w:ascii="TimesNewRoman" w:hAnsi="TimesNewRoman" w:eastAsia="仿宋_GB2312" w:cs="TimesNewRoman"/>
          <w:color w:val="auto"/>
          <w:kern w:val="0"/>
          <w:sz w:val="32"/>
          <w:szCs w:val="32"/>
        </w:rPr>
        <w:t>%，原因主要是</w:t>
      </w:r>
      <w:r>
        <w:rPr>
          <w:rFonts w:hint="eastAsia" w:ascii="仿宋_GB2312" w:hAnsi="仿宋" w:eastAsia="仿宋_GB2312"/>
          <w:color w:val="auto"/>
          <w:sz w:val="32"/>
          <w:szCs w:val="32"/>
          <w:lang w:eastAsia="zh-CN"/>
        </w:rPr>
        <w:t>单位运行劳务费项目增加（</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lang w:eastAsia="zh-CN"/>
        </w:rPr>
        <w:t>在基本支出预算中安排的编外人员工资纳入单位运行劳务费项目）。</w:t>
      </w:r>
      <w:r>
        <w:rPr>
          <w:rFonts w:hint="eastAsia" w:ascii="仿宋_GB2312" w:hAnsi="仿宋" w:eastAsia="仿宋_GB2312"/>
          <w:color w:val="auto"/>
          <w:sz w:val="32"/>
          <w:szCs w:val="32"/>
        </w:rPr>
        <w:t xml:space="preserve">主要包括：本年财政拨款安排 </w:t>
      </w:r>
      <w:r>
        <w:rPr>
          <w:rFonts w:hint="eastAsia" w:ascii="仿宋_GB2312" w:hAnsi="仿宋" w:eastAsia="仿宋_GB2312"/>
          <w:color w:val="auto"/>
          <w:sz w:val="32"/>
          <w:szCs w:val="32"/>
          <w:lang w:val="en-US" w:eastAsia="zh-CN"/>
        </w:rPr>
        <w:t>38</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val="en-US" w:eastAsia="zh-CN"/>
        </w:rPr>
        <w:t>2023年项目</w:t>
      </w:r>
      <w:r>
        <w:rPr>
          <w:rFonts w:hint="eastAsia" w:ascii="仿宋_GB2312" w:hAnsi="仿宋" w:eastAsia="仿宋_GB2312"/>
          <w:color w:val="auto"/>
          <w:sz w:val="32"/>
          <w:szCs w:val="32"/>
          <w:lang w:eastAsia="zh-CN"/>
        </w:rPr>
        <w:t>均属于</w:t>
      </w:r>
      <w:r>
        <w:rPr>
          <w:rFonts w:hint="eastAsia" w:ascii="仿宋_GB2312" w:hAnsi="仿宋" w:eastAsia="仿宋_GB2312"/>
          <w:color w:val="auto"/>
          <w:sz w:val="32"/>
          <w:szCs w:val="32"/>
        </w:rPr>
        <w:t>一般公共预算拨款安排</w:t>
      </w:r>
      <w:r>
        <w:rPr>
          <w:rFonts w:hint="eastAsia" w:ascii="仿宋_GB2312" w:hAnsi="仿宋" w:eastAsia="仿宋_GB2312"/>
          <w:color w:val="auto"/>
          <w:sz w:val="32"/>
          <w:szCs w:val="32"/>
          <w:lang w:eastAsia="zh-CN"/>
        </w:rPr>
        <w:t>）</w:t>
      </w:r>
    </w:p>
    <w:p w14:paraId="6D00912D">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十、关于2023年政府采购支出表的说明</w:t>
      </w:r>
    </w:p>
    <w:p w14:paraId="5616B076">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2023年没有使用一般公共预算拨款、政府性基金预算拨款、国有资本经营预算拨款、财政专户管理资金和单位资金安排的政府采购支出。</w:t>
      </w:r>
    </w:p>
    <w:p w14:paraId="255B4884">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十一、关于2023年政府购买服务支出表的说明</w:t>
      </w:r>
    </w:p>
    <w:p w14:paraId="600332CC">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2023年没有安排政府购买服务支出。</w:t>
      </w:r>
    </w:p>
    <w:p w14:paraId="6493BA8C">
      <w:pPr>
        <w:pStyle w:val="6"/>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十二、其他重要事项情况说明</w:t>
      </w:r>
    </w:p>
    <w:p w14:paraId="753D8FF7">
      <w:pPr>
        <w:adjustRightInd w:val="0"/>
        <w:snapToGrid w:val="0"/>
        <w:spacing w:line="58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（一）项目及绩效目标情况。</w:t>
      </w:r>
    </w:p>
    <w:p w14:paraId="1785CCEA">
      <w:pPr>
        <w:adjustRightInd w:val="0"/>
        <w:snapToGrid w:val="0"/>
        <w:spacing w:line="600" w:lineRule="exact"/>
        <w:ind w:firstLine="803" w:firstLineChars="250"/>
        <w:rPr>
          <w:rFonts w:hint="eastAsia" w:ascii="仿宋_GB2312" w:hAnsi="楷体" w:eastAsia="仿宋_GB2312"/>
          <w:b/>
          <w:color w:val="auto"/>
          <w:sz w:val="32"/>
          <w:szCs w:val="32"/>
        </w:rPr>
      </w:pPr>
      <w:r>
        <w:rPr>
          <w:rFonts w:hint="eastAsia" w:ascii="仿宋_GB2312" w:hAnsi="楷体" w:eastAsia="仿宋_GB2312"/>
          <w:b/>
          <w:color w:val="auto"/>
          <w:sz w:val="32"/>
          <w:szCs w:val="32"/>
        </w:rPr>
        <w:t>1.“</w:t>
      </w:r>
      <w:r>
        <w:rPr>
          <w:rFonts w:hint="eastAsia" w:ascii="仿宋_GB2312" w:hAnsi="楷体" w:eastAsia="仿宋_GB2312"/>
          <w:b/>
          <w:color w:val="auto"/>
          <w:sz w:val="32"/>
          <w:szCs w:val="32"/>
          <w:lang w:eastAsia="zh-CN"/>
        </w:rPr>
        <w:t>质量监督业务</w:t>
      </w:r>
      <w:r>
        <w:rPr>
          <w:rFonts w:hint="eastAsia" w:ascii="仿宋_GB2312" w:hAnsi="楷体" w:eastAsia="仿宋_GB2312"/>
          <w:b/>
          <w:color w:val="auto"/>
          <w:sz w:val="32"/>
          <w:szCs w:val="32"/>
          <w:lang w:val="en-US" w:eastAsia="zh-CN"/>
        </w:rPr>
        <w:t>费</w:t>
      </w:r>
      <w:r>
        <w:rPr>
          <w:rFonts w:hint="eastAsia" w:ascii="仿宋_GB2312" w:hAnsi="楷体" w:eastAsia="仿宋_GB2312"/>
          <w:b/>
          <w:color w:val="auto"/>
          <w:sz w:val="32"/>
          <w:szCs w:val="32"/>
        </w:rPr>
        <w:t>”项目。</w:t>
      </w:r>
    </w:p>
    <w:p w14:paraId="5102F27D">
      <w:pPr>
        <w:adjustRightInd w:val="0"/>
        <w:snapToGrid w:val="0"/>
        <w:spacing w:line="600" w:lineRule="exact"/>
        <w:ind w:firstLine="640" w:firstLineChars="200"/>
        <w:rPr>
          <w:rFonts w:hint="eastAsia" w:ascii="仿宋_GB2312" w:hAnsi="楷体" w:eastAsia="仿宋_GB2312"/>
          <w:color w:val="auto"/>
          <w:sz w:val="32"/>
          <w:szCs w:val="32"/>
        </w:rPr>
      </w:pPr>
      <w:r>
        <w:rPr>
          <w:rFonts w:hint="eastAsia" w:ascii="仿宋_GB2312" w:hAnsi="楷体" w:eastAsia="仿宋_GB2312"/>
          <w:b w:val="0"/>
          <w:bCs w:val="0"/>
          <w:color w:val="auto"/>
          <w:sz w:val="32"/>
          <w:szCs w:val="32"/>
        </w:rPr>
        <w:t>（1）项目概述</w:t>
      </w:r>
      <w:r>
        <w:rPr>
          <w:rFonts w:hint="eastAsia" w:ascii="仿宋_GB2312" w:hAnsi="楷体" w:eastAsia="仿宋_GB2312"/>
          <w:b w:val="0"/>
          <w:bCs w:val="0"/>
          <w:color w:val="auto"/>
          <w:sz w:val="32"/>
          <w:szCs w:val="32"/>
          <w:lang w:val="en-US" w:eastAsia="zh-CN"/>
        </w:rPr>
        <w:t>:</w:t>
      </w:r>
      <w:r>
        <w:rPr>
          <w:rFonts w:hint="eastAsia" w:ascii="仿宋_GB2312" w:eastAsia="仿宋_GB2312"/>
          <w:color w:val="auto"/>
          <w:sz w:val="32"/>
          <w:szCs w:val="32"/>
        </w:rPr>
        <w:t>根据《水利工程质量管理规定》、《水利工程质量监督管理规定》、水利工程质量监督管理按照“施工保证、监督控制、法人负责、政府监督”的四项要求，开展水利工程质量监督工作是十分必要的。 水利工程质量监督专项业务费主要用于开展水利工程项目监督工作需要的车辆维修、燃油、劳动和安全保障用品、工程质量监督抽样检测费用。</w:t>
      </w:r>
    </w:p>
    <w:p w14:paraId="696B6B55">
      <w:pPr>
        <w:spacing w:line="600" w:lineRule="exact"/>
        <w:ind w:firstLine="585" w:firstLineChars="183"/>
        <w:rPr>
          <w:rFonts w:hint="eastAsia" w:ascii="仿宋_GB2312" w:hAnsi="楷体" w:eastAsia="仿宋_GB2312"/>
          <w:color w:val="auto"/>
          <w:sz w:val="32"/>
          <w:szCs w:val="32"/>
        </w:rPr>
      </w:pPr>
      <w:r>
        <w:rPr>
          <w:rFonts w:hint="eastAsia" w:ascii="仿宋_GB2312" w:hAnsi="楷体" w:eastAsia="仿宋_GB2312"/>
          <w:b w:val="0"/>
          <w:bCs w:val="0"/>
          <w:color w:val="auto"/>
          <w:sz w:val="32"/>
          <w:szCs w:val="32"/>
        </w:rPr>
        <w:t>（2）立项依据</w:t>
      </w:r>
      <w:r>
        <w:rPr>
          <w:rFonts w:hint="eastAsia" w:ascii="仿宋_GB2312" w:hAnsi="楷体" w:eastAsia="仿宋_GB2312"/>
          <w:b w:val="0"/>
          <w:bCs w:val="0"/>
          <w:color w:val="auto"/>
          <w:sz w:val="32"/>
          <w:szCs w:val="32"/>
          <w:lang w:val="en-US" w:eastAsia="zh-CN"/>
        </w:rPr>
        <w:t>:</w:t>
      </w:r>
      <w:r>
        <w:rPr>
          <w:rFonts w:hint="eastAsia" w:ascii="仿宋_GB2312" w:hAnsi="楷体" w:eastAsia="仿宋_GB2312"/>
          <w:color w:val="auto"/>
          <w:sz w:val="32"/>
          <w:szCs w:val="32"/>
        </w:rPr>
        <w:t>关于成立市水利工程质量监督站的通知（淮编字【90】第25号）； 关于给市水利工程质量监督站增加经费自理编制的通知（淮编字【2005】11号）；水利工程质量监督管理规定</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淮北市水利工程质量监督站主要职责；关于核拨水利工程质量监督专项业务费的可行性报告</w:t>
      </w:r>
    </w:p>
    <w:p w14:paraId="54550DF4">
      <w:pPr>
        <w:pStyle w:val="2"/>
        <w:ind w:left="0" w:leftChars="0" w:firstLine="640" w:firstLineChars="200"/>
        <w:rPr>
          <w:rFonts w:hint="eastAsia" w:eastAsia="仿宋_GB2312"/>
          <w:color w:val="auto"/>
          <w:lang w:eastAsia="zh-CN"/>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3</w:t>
      </w:r>
      <w:r>
        <w:rPr>
          <w:rFonts w:hint="eastAsia" w:ascii="仿宋_GB2312" w:hAnsi="楷体" w:eastAsia="仿宋_GB2312"/>
          <w:color w:val="auto"/>
          <w:sz w:val="32"/>
          <w:szCs w:val="32"/>
          <w:lang w:eastAsia="zh-CN"/>
        </w:rPr>
        <w:t>）实施主体：淮北市水利工程质量监督站</w:t>
      </w:r>
    </w:p>
    <w:p w14:paraId="78A2720E">
      <w:pPr>
        <w:adjustRightInd w:val="0"/>
        <w:snapToGrid w:val="0"/>
        <w:spacing w:line="600" w:lineRule="exact"/>
        <w:ind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:2023.1月--2023.12月</w:t>
      </w:r>
    </w:p>
    <w:p w14:paraId="6D1F479F">
      <w:pPr>
        <w:ind w:firstLine="640" w:firstLineChars="200"/>
        <w:rPr>
          <w:rFonts w:ascii="仿宋_GB2312"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eastAsia="仿宋_GB2312"/>
          <w:color w:val="auto"/>
          <w:sz w:val="32"/>
          <w:szCs w:val="32"/>
        </w:rPr>
        <w:t>申请财政</w:t>
      </w:r>
      <w:r>
        <w:rPr>
          <w:rFonts w:hint="eastAsia" w:ascii="仿宋_GB2312" w:eastAsia="仿宋_GB2312"/>
          <w:color w:val="auto"/>
          <w:sz w:val="32"/>
          <w:szCs w:val="32"/>
          <w:lang w:eastAsia="zh-CN"/>
        </w:rPr>
        <w:t>非税收入</w:t>
      </w:r>
      <w:r>
        <w:rPr>
          <w:rFonts w:hint="eastAsia" w:ascii="仿宋_GB2312" w:eastAsia="仿宋_GB2312"/>
          <w:color w:val="auto"/>
          <w:sz w:val="32"/>
          <w:szCs w:val="32"/>
        </w:rPr>
        <w:t>资金</w:t>
      </w:r>
      <w:r>
        <w:rPr>
          <w:rFonts w:hint="eastAsia" w:ascii="仿宋_GB2312" w:eastAsia="仿宋_GB2312"/>
          <w:color w:val="auto"/>
          <w:sz w:val="32"/>
          <w:szCs w:val="32"/>
          <w:lang w:eastAsia="zh-CN"/>
        </w:rPr>
        <w:t>安排</w:t>
      </w:r>
      <w:r>
        <w:rPr>
          <w:rFonts w:hint="eastAsia" w:ascii="仿宋_GB2312" w:eastAsia="仿宋_GB2312"/>
          <w:color w:val="auto"/>
          <w:sz w:val="32"/>
          <w:szCs w:val="32"/>
        </w:rPr>
        <w:t>2万元。包括</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r>
        <w:rPr>
          <w:rFonts w:hint="eastAsia" w:ascii="仿宋_GB2312" w:eastAsia="仿宋_GB2312"/>
          <w:color w:val="auto"/>
          <w:sz w:val="32"/>
          <w:szCs w:val="32"/>
          <w:lang w:eastAsia="zh-CN"/>
        </w:rPr>
        <w:t>邮电费</w:t>
      </w:r>
      <w:r>
        <w:rPr>
          <w:rFonts w:hint="eastAsia" w:ascii="仿宋_GB2312" w:eastAsia="仿宋_GB2312"/>
          <w:color w:val="auto"/>
          <w:sz w:val="32"/>
          <w:szCs w:val="32"/>
          <w:lang w:val="en-US" w:eastAsia="zh-CN"/>
        </w:rPr>
        <w:t>0.05</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2、办公费0.8万元；3</w:t>
      </w:r>
      <w:r>
        <w:rPr>
          <w:rFonts w:hint="eastAsia" w:ascii="仿宋_GB2312" w:eastAsia="仿宋_GB2312"/>
          <w:color w:val="auto"/>
          <w:sz w:val="32"/>
          <w:szCs w:val="32"/>
        </w:rPr>
        <w:t>、其他</w:t>
      </w:r>
      <w:r>
        <w:rPr>
          <w:rFonts w:hint="eastAsia" w:ascii="仿宋_GB2312" w:eastAsia="仿宋_GB2312"/>
          <w:color w:val="auto"/>
          <w:sz w:val="32"/>
          <w:szCs w:val="32"/>
          <w:lang w:eastAsia="zh-CN"/>
        </w:rPr>
        <w:t>商品和服务支出</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主要包括伙食补助、</w:t>
      </w:r>
      <w:r>
        <w:rPr>
          <w:rFonts w:hint="eastAsia" w:ascii="仿宋_GB2312" w:eastAsia="仿宋_GB2312"/>
          <w:color w:val="auto"/>
          <w:sz w:val="32"/>
          <w:szCs w:val="32"/>
        </w:rPr>
        <w:t>职工体检费</w:t>
      </w:r>
      <w:r>
        <w:rPr>
          <w:rFonts w:hint="eastAsia" w:ascii="仿宋_GB2312" w:eastAsia="仿宋_GB2312"/>
          <w:color w:val="auto"/>
          <w:sz w:val="32"/>
          <w:szCs w:val="32"/>
          <w:lang w:eastAsia="zh-CN"/>
        </w:rPr>
        <w:t>、女同志卫生费等其他支出</w:t>
      </w:r>
      <w:r>
        <w:rPr>
          <w:rFonts w:hint="eastAsia" w:ascii="仿宋_GB2312" w:eastAsia="仿宋_GB2312"/>
          <w:color w:val="auto"/>
          <w:sz w:val="32"/>
          <w:szCs w:val="32"/>
        </w:rPr>
        <w:t>）</w:t>
      </w:r>
    </w:p>
    <w:p w14:paraId="21427897">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楷体" w:eastAsia="仿宋_GB2312"/>
          <w:color w:val="auto"/>
          <w:sz w:val="32"/>
          <w:szCs w:val="32"/>
          <w:lang w:eastAsia="zh-CN"/>
        </w:rPr>
        <w:t>：财政非税收入安排</w:t>
      </w:r>
      <w:r>
        <w:rPr>
          <w:rFonts w:hint="eastAsia" w:ascii="仿宋_GB2312" w:hAnsi="楷体" w:eastAsia="仿宋_GB2312"/>
          <w:color w:val="auto"/>
          <w:sz w:val="32"/>
          <w:szCs w:val="32"/>
          <w:lang w:val="en-US" w:eastAsia="zh-CN"/>
        </w:rPr>
        <w:t>2万元</w:t>
      </w:r>
    </w:p>
    <w:p w14:paraId="7F9B60DC">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w:t>
      </w:r>
      <w:r>
        <w:rPr>
          <w:rFonts w:hint="eastAsia" w:ascii="仿宋_GB2312" w:hAnsi="楷体" w:eastAsia="仿宋_GB2312"/>
          <w:color w:val="auto"/>
          <w:sz w:val="32"/>
          <w:szCs w:val="32"/>
          <w:lang w:eastAsia="zh-CN"/>
        </w:rPr>
        <w:t>绩效目标和指标：本项目属于日常运转类，主要用于水利工程质量监督正常业务支出，确保水利工程质量监督工作顺利开展。</w:t>
      </w:r>
      <w:r>
        <w:rPr>
          <w:rFonts w:hint="eastAsia" w:ascii="仿宋_GB2312" w:hAnsi="楷体" w:eastAsia="仿宋_GB2312"/>
          <w:color w:val="auto"/>
          <w:sz w:val="32"/>
          <w:szCs w:val="32"/>
          <w:lang w:val="en-US" w:eastAsia="zh-CN"/>
        </w:rPr>
        <w:t>2023年该项目</w:t>
      </w:r>
      <w:r>
        <w:rPr>
          <w:rFonts w:hint="eastAsia" w:ascii="仿宋_GB2312" w:hAnsi="楷体" w:eastAsia="仿宋_GB2312"/>
          <w:color w:val="auto"/>
          <w:sz w:val="32"/>
          <w:szCs w:val="32"/>
          <w:lang w:eastAsia="zh-CN"/>
        </w:rPr>
        <w:t>纳入财政绩效目标考核。</w:t>
      </w:r>
    </w:p>
    <w:tbl>
      <w:tblPr>
        <w:tblStyle w:val="8"/>
        <w:tblpPr w:leftFromText="180" w:rightFromText="180" w:vertAnchor="text" w:horzAnchor="page" w:tblpX="1900" w:tblpY="543"/>
        <w:tblOverlap w:val="never"/>
        <w:tblW w:w="9222" w:type="dxa"/>
        <w:tblInd w:w="0" w:type="dxa"/>
        <w:tblLayout w:type="fixed"/>
        <w:tblCellMar>
          <w:top w:w="0" w:type="dxa"/>
          <w:left w:w="108" w:type="dxa"/>
          <w:bottom w:w="0" w:type="dxa"/>
          <w:right w:w="108" w:type="dxa"/>
        </w:tblCellMar>
      </w:tblPr>
      <w:tblGrid>
        <w:gridCol w:w="416"/>
        <w:gridCol w:w="820"/>
        <w:gridCol w:w="639"/>
        <w:gridCol w:w="1475"/>
        <w:gridCol w:w="1050"/>
        <w:gridCol w:w="731"/>
        <w:gridCol w:w="697"/>
        <w:gridCol w:w="1852"/>
        <w:gridCol w:w="705"/>
        <w:gridCol w:w="837"/>
      </w:tblGrid>
      <w:tr w14:paraId="7FFD6282">
        <w:tblPrEx>
          <w:tblCellMar>
            <w:top w:w="0" w:type="dxa"/>
            <w:left w:w="108" w:type="dxa"/>
            <w:bottom w:w="0" w:type="dxa"/>
            <w:right w:w="108" w:type="dxa"/>
          </w:tblCellMar>
        </w:tblPrEx>
        <w:trPr>
          <w:trHeight w:val="360" w:hRule="atLeast"/>
        </w:trPr>
        <w:tc>
          <w:tcPr>
            <w:tcW w:w="9222" w:type="dxa"/>
            <w:gridSpan w:val="10"/>
            <w:tcBorders>
              <w:top w:val="nil"/>
              <w:left w:val="nil"/>
              <w:bottom w:val="nil"/>
              <w:right w:val="nil"/>
            </w:tcBorders>
            <w:noWrap w:val="0"/>
            <w:vAlign w:val="center"/>
          </w:tcPr>
          <w:p w14:paraId="129A0789">
            <w:pPr>
              <w:ind w:firstLine="3213" w:firstLineChars="1000"/>
              <w:jc w:val="both"/>
              <w:rPr>
                <w:rFonts w:ascii="宋体" w:hAnsi="宋体" w:cs="宋体"/>
                <w:b/>
                <w:bCs/>
                <w:color w:val="auto"/>
                <w:sz w:val="32"/>
                <w:szCs w:val="32"/>
              </w:rPr>
            </w:pPr>
            <w:r>
              <w:rPr>
                <w:rFonts w:hint="eastAsia"/>
                <w:b/>
                <w:bCs/>
                <w:color w:val="auto"/>
                <w:sz w:val="32"/>
                <w:szCs w:val="32"/>
              </w:rPr>
              <w:t>项目支出绩效目标表</w:t>
            </w:r>
          </w:p>
        </w:tc>
      </w:tr>
      <w:tr w14:paraId="38CF8760">
        <w:tblPrEx>
          <w:tblCellMar>
            <w:top w:w="0" w:type="dxa"/>
            <w:left w:w="108" w:type="dxa"/>
            <w:bottom w:w="0" w:type="dxa"/>
            <w:right w:w="108" w:type="dxa"/>
          </w:tblCellMar>
        </w:tblPrEx>
        <w:trPr>
          <w:trHeight w:val="270" w:hRule="atLeast"/>
        </w:trPr>
        <w:tc>
          <w:tcPr>
            <w:tcW w:w="9222" w:type="dxa"/>
            <w:gridSpan w:val="10"/>
            <w:tcBorders>
              <w:top w:val="nil"/>
              <w:left w:val="nil"/>
              <w:bottom w:val="nil"/>
              <w:right w:val="nil"/>
            </w:tcBorders>
            <w:noWrap w:val="0"/>
            <w:vAlign w:val="center"/>
          </w:tcPr>
          <w:p w14:paraId="0686A385">
            <w:pPr>
              <w:jc w:val="center"/>
              <w:rPr>
                <w:rFonts w:ascii="宋体" w:hAnsi="宋体" w:cs="宋体"/>
                <w:color w:val="auto"/>
                <w:sz w:val="20"/>
                <w:szCs w:val="20"/>
              </w:rPr>
            </w:pPr>
            <w:r>
              <w:rPr>
                <w:rFonts w:hint="eastAsia"/>
                <w:color w:val="auto"/>
                <w:sz w:val="20"/>
                <w:szCs w:val="20"/>
              </w:rPr>
              <w:t>（202</w:t>
            </w:r>
            <w:r>
              <w:rPr>
                <w:rFonts w:hint="eastAsia"/>
                <w:color w:val="auto"/>
                <w:sz w:val="20"/>
                <w:szCs w:val="20"/>
                <w:lang w:val="en-US" w:eastAsia="zh-CN"/>
              </w:rPr>
              <w:t>3</w:t>
            </w:r>
            <w:r>
              <w:rPr>
                <w:rFonts w:hint="eastAsia"/>
                <w:color w:val="auto"/>
                <w:sz w:val="20"/>
                <w:szCs w:val="20"/>
              </w:rPr>
              <w:t>年度）</w:t>
            </w:r>
          </w:p>
        </w:tc>
      </w:tr>
      <w:tr w14:paraId="4D927CC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B1C6BE3">
            <w:pPr>
              <w:jc w:val="center"/>
              <w:rPr>
                <w:rFonts w:ascii="宋体" w:hAnsi="宋体" w:cs="宋体"/>
                <w:color w:val="auto"/>
                <w:sz w:val="20"/>
                <w:szCs w:val="20"/>
              </w:rPr>
            </w:pPr>
            <w:r>
              <w:rPr>
                <w:rFonts w:hint="eastAsia"/>
                <w:color w:val="auto"/>
                <w:sz w:val="20"/>
                <w:szCs w:val="20"/>
              </w:rPr>
              <w:t>项目名称</w:t>
            </w:r>
          </w:p>
        </w:tc>
        <w:tc>
          <w:tcPr>
            <w:tcW w:w="7986" w:type="dxa"/>
            <w:gridSpan w:val="8"/>
            <w:tcBorders>
              <w:top w:val="single" w:color="auto" w:sz="4" w:space="0"/>
              <w:left w:val="nil"/>
              <w:bottom w:val="single" w:color="auto" w:sz="4" w:space="0"/>
              <w:right w:val="single" w:color="000000" w:sz="4" w:space="0"/>
            </w:tcBorders>
            <w:noWrap w:val="0"/>
            <w:vAlign w:val="center"/>
          </w:tcPr>
          <w:p w14:paraId="62F12B78">
            <w:pPr>
              <w:jc w:val="both"/>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质量监督业务费</w:t>
            </w:r>
          </w:p>
        </w:tc>
      </w:tr>
      <w:tr w14:paraId="1E51D0F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36D929E">
            <w:pPr>
              <w:jc w:val="center"/>
              <w:rPr>
                <w:rFonts w:ascii="宋体" w:hAnsi="宋体" w:cs="宋体"/>
                <w:color w:val="auto"/>
                <w:sz w:val="20"/>
                <w:szCs w:val="20"/>
              </w:rPr>
            </w:pPr>
            <w:r>
              <w:rPr>
                <w:rFonts w:hint="eastAsia"/>
                <w:color w:val="auto"/>
                <w:sz w:val="20"/>
                <w:szCs w:val="20"/>
              </w:rPr>
              <w:t>实施单位</w:t>
            </w:r>
          </w:p>
        </w:tc>
        <w:tc>
          <w:tcPr>
            <w:tcW w:w="7986" w:type="dxa"/>
            <w:gridSpan w:val="8"/>
            <w:tcBorders>
              <w:top w:val="single" w:color="auto" w:sz="4" w:space="0"/>
              <w:left w:val="nil"/>
              <w:bottom w:val="single" w:color="auto" w:sz="4" w:space="0"/>
              <w:right w:val="single" w:color="auto" w:sz="4" w:space="0"/>
            </w:tcBorders>
            <w:noWrap w:val="0"/>
            <w:vAlign w:val="center"/>
          </w:tcPr>
          <w:p w14:paraId="335ED660">
            <w:pPr>
              <w:jc w:val="both"/>
              <w:rPr>
                <w:rFonts w:ascii="宋体" w:hAnsi="宋体" w:cs="宋体"/>
                <w:color w:val="auto"/>
                <w:sz w:val="20"/>
                <w:szCs w:val="20"/>
              </w:rPr>
            </w:pPr>
            <w:r>
              <w:rPr>
                <w:rFonts w:hint="eastAsia"/>
                <w:color w:val="auto"/>
                <w:sz w:val="20"/>
                <w:szCs w:val="20"/>
                <w:lang w:eastAsia="zh-CN"/>
              </w:rPr>
              <w:t>质监站</w:t>
            </w:r>
            <w:r>
              <w:rPr>
                <w:rFonts w:hint="eastAsia"/>
                <w:color w:val="auto"/>
                <w:sz w:val="20"/>
                <w:szCs w:val="20"/>
              </w:rPr>
              <w:t>　</w:t>
            </w:r>
          </w:p>
        </w:tc>
      </w:tr>
      <w:tr w14:paraId="294153A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7D9E8ED">
            <w:pPr>
              <w:jc w:val="center"/>
              <w:rPr>
                <w:rFonts w:ascii="宋体" w:hAnsi="宋体" w:cs="宋体"/>
                <w:color w:val="auto"/>
                <w:sz w:val="20"/>
                <w:szCs w:val="20"/>
              </w:rPr>
            </w:pPr>
            <w:r>
              <w:rPr>
                <w:rFonts w:hint="eastAsia"/>
                <w:color w:val="auto"/>
                <w:sz w:val="20"/>
                <w:szCs w:val="20"/>
              </w:rPr>
              <w:t>项目属性</w:t>
            </w:r>
          </w:p>
        </w:tc>
        <w:tc>
          <w:tcPr>
            <w:tcW w:w="7986" w:type="dxa"/>
            <w:gridSpan w:val="8"/>
            <w:tcBorders>
              <w:top w:val="single" w:color="auto" w:sz="4" w:space="0"/>
              <w:left w:val="nil"/>
              <w:bottom w:val="single" w:color="auto" w:sz="4" w:space="0"/>
              <w:right w:val="single" w:color="auto" w:sz="4" w:space="0"/>
            </w:tcBorders>
            <w:noWrap w:val="0"/>
            <w:vAlign w:val="center"/>
          </w:tcPr>
          <w:p w14:paraId="34178180">
            <w:pPr>
              <w:jc w:val="center"/>
              <w:rPr>
                <w:rFonts w:ascii="宋体" w:hAnsi="宋体" w:cs="宋体"/>
                <w:color w:val="auto"/>
                <w:sz w:val="20"/>
                <w:szCs w:val="20"/>
              </w:rPr>
            </w:pPr>
            <w:r>
              <w:rPr>
                <w:rFonts w:hint="eastAsia"/>
                <w:color w:val="auto"/>
                <w:sz w:val="20"/>
                <w:szCs w:val="20"/>
                <w:lang w:eastAsia="zh-CN"/>
              </w:rPr>
              <w:t>经常性</w:t>
            </w:r>
            <w:r>
              <w:rPr>
                <w:rFonts w:hint="eastAsia"/>
                <w:color w:val="auto"/>
                <w:sz w:val="20"/>
                <w:szCs w:val="20"/>
              </w:rPr>
              <w:t>　</w:t>
            </w:r>
          </w:p>
        </w:tc>
      </w:tr>
      <w:tr w14:paraId="668BD108">
        <w:tblPrEx>
          <w:tblCellMar>
            <w:top w:w="0" w:type="dxa"/>
            <w:left w:w="108" w:type="dxa"/>
            <w:bottom w:w="0" w:type="dxa"/>
            <w:right w:w="108" w:type="dxa"/>
          </w:tblCellMar>
        </w:tblPrEx>
        <w:trPr>
          <w:trHeight w:val="330" w:hRule="atLeast"/>
        </w:trPr>
        <w:tc>
          <w:tcPr>
            <w:tcW w:w="187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6842BB8E">
            <w:pPr>
              <w:jc w:val="center"/>
              <w:rPr>
                <w:rFonts w:ascii="宋体" w:hAnsi="宋体" w:cs="宋体"/>
                <w:color w:val="auto"/>
                <w:sz w:val="20"/>
                <w:szCs w:val="20"/>
              </w:rPr>
            </w:pPr>
            <w:r>
              <w:rPr>
                <w:rFonts w:hint="eastAsia"/>
                <w:color w:val="auto"/>
                <w:sz w:val="20"/>
                <w:szCs w:val="20"/>
              </w:rPr>
              <w:t>项目资金</w:t>
            </w:r>
            <w:r>
              <w:rPr>
                <w:rFonts w:hint="eastAsia"/>
                <w:color w:val="auto"/>
                <w:sz w:val="20"/>
                <w:szCs w:val="20"/>
              </w:rPr>
              <w:br w:type="textWrapping"/>
            </w:r>
            <w:r>
              <w:rPr>
                <w:rFonts w:hint="eastAsia"/>
                <w:color w:val="auto"/>
                <w:sz w:val="20"/>
                <w:szCs w:val="20"/>
              </w:rPr>
              <w:t>（万元）</w:t>
            </w:r>
          </w:p>
        </w:tc>
        <w:tc>
          <w:tcPr>
            <w:tcW w:w="1475" w:type="dxa"/>
            <w:tcBorders>
              <w:top w:val="nil"/>
              <w:left w:val="nil"/>
              <w:bottom w:val="single" w:color="auto" w:sz="4" w:space="0"/>
              <w:right w:val="single" w:color="auto" w:sz="4" w:space="0"/>
            </w:tcBorders>
            <w:noWrap w:val="0"/>
            <w:vAlign w:val="center"/>
          </w:tcPr>
          <w:p w14:paraId="09FF8174">
            <w:pPr>
              <w:rPr>
                <w:rFonts w:ascii="宋体" w:hAnsi="宋体" w:cs="宋体"/>
                <w:color w:val="auto"/>
                <w:sz w:val="20"/>
                <w:szCs w:val="20"/>
              </w:rPr>
            </w:pPr>
            <w:r>
              <w:rPr>
                <w:rFonts w:hint="eastAsia"/>
                <w:color w:val="auto"/>
                <w:sz w:val="20"/>
                <w:szCs w:val="20"/>
              </w:rPr>
              <w:t xml:space="preserve"> 中期资金总额：</w:t>
            </w:r>
          </w:p>
        </w:tc>
        <w:tc>
          <w:tcPr>
            <w:tcW w:w="1781" w:type="dxa"/>
            <w:gridSpan w:val="2"/>
            <w:tcBorders>
              <w:top w:val="single" w:color="auto" w:sz="4" w:space="0"/>
              <w:left w:val="nil"/>
              <w:bottom w:val="single" w:color="auto" w:sz="4" w:space="0"/>
              <w:right w:val="single" w:color="auto" w:sz="4" w:space="0"/>
            </w:tcBorders>
            <w:noWrap w:val="0"/>
            <w:vAlign w:val="center"/>
          </w:tcPr>
          <w:p w14:paraId="0162BB29">
            <w:pPr>
              <w:jc w:val="center"/>
              <w:rPr>
                <w:rFonts w:ascii="宋体" w:hAnsi="宋体" w:cs="宋体"/>
                <w:color w:val="auto"/>
                <w:sz w:val="20"/>
                <w:szCs w:val="20"/>
              </w:rPr>
            </w:pPr>
            <w:r>
              <w:rPr>
                <w:rFonts w:hint="eastAsia"/>
                <w:color w:val="auto"/>
                <w:sz w:val="20"/>
                <w:szCs w:val="20"/>
              </w:rPr>
              <w:t>　</w:t>
            </w:r>
          </w:p>
        </w:tc>
        <w:tc>
          <w:tcPr>
            <w:tcW w:w="2549" w:type="dxa"/>
            <w:gridSpan w:val="2"/>
            <w:tcBorders>
              <w:top w:val="single" w:color="auto" w:sz="4" w:space="0"/>
              <w:left w:val="nil"/>
              <w:bottom w:val="single" w:color="auto" w:sz="4" w:space="0"/>
              <w:right w:val="single" w:color="auto" w:sz="4" w:space="0"/>
            </w:tcBorders>
            <w:noWrap w:val="0"/>
            <w:vAlign w:val="center"/>
          </w:tcPr>
          <w:p w14:paraId="534646C7">
            <w:pPr>
              <w:rPr>
                <w:rFonts w:ascii="宋体" w:hAnsi="宋体" w:cs="宋体"/>
                <w:color w:val="auto"/>
                <w:sz w:val="20"/>
                <w:szCs w:val="20"/>
              </w:rPr>
            </w:pPr>
            <w:r>
              <w:rPr>
                <w:rFonts w:hint="eastAsia"/>
                <w:color w:val="auto"/>
                <w:sz w:val="20"/>
                <w:szCs w:val="20"/>
              </w:rPr>
              <w:t xml:space="preserve"> 年度资金总额：</w:t>
            </w:r>
          </w:p>
        </w:tc>
        <w:tc>
          <w:tcPr>
            <w:tcW w:w="1542" w:type="dxa"/>
            <w:gridSpan w:val="2"/>
            <w:tcBorders>
              <w:top w:val="single" w:color="auto" w:sz="4" w:space="0"/>
              <w:left w:val="nil"/>
              <w:bottom w:val="single" w:color="auto" w:sz="4" w:space="0"/>
              <w:right w:val="single" w:color="000000" w:sz="4" w:space="0"/>
            </w:tcBorders>
            <w:noWrap w:val="0"/>
            <w:vAlign w:val="center"/>
          </w:tcPr>
          <w:p w14:paraId="39649292">
            <w:pPr>
              <w:jc w:val="center"/>
              <w:rPr>
                <w:rFonts w:hint="eastAsia" w:ascii="宋体" w:hAnsi="宋体" w:eastAsia="宋体" w:cs="宋体"/>
                <w:color w:val="auto"/>
                <w:sz w:val="20"/>
                <w:szCs w:val="20"/>
                <w:lang w:eastAsia="zh-CN"/>
              </w:rPr>
            </w:pPr>
            <w:r>
              <w:rPr>
                <w:rFonts w:hint="eastAsia"/>
                <w:color w:val="auto"/>
                <w:sz w:val="20"/>
                <w:szCs w:val="20"/>
                <w:lang w:val="en-US" w:eastAsia="zh-CN"/>
              </w:rPr>
              <w:t>2</w:t>
            </w:r>
            <w:r>
              <w:rPr>
                <w:rFonts w:hint="eastAsia"/>
                <w:color w:val="auto"/>
                <w:sz w:val="20"/>
                <w:szCs w:val="20"/>
              </w:rPr>
              <w:t>　</w:t>
            </w:r>
            <w:r>
              <w:rPr>
                <w:rFonts w:hint="eastAsia"/>
                <w:color w:val="auto"/>
                <w:sz w:val="20"/>
                <w:szCs w:val="20"/>
                <w:lang w:eastAsia="zh-CN"/>
              </w:rPr>
              <w:t>万</w:t>
            </w:r>
          </w:p>
        </w:tc>
      </w:tr>
      <w:tr w14:paraId="4DA948DB">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4EADB27">
            <w:pPr>
              <w:rPr>
                <w:rFonts w:ascii="宋体" w:hAnsi="宋体" w:cs="宋体"/>
                <w:color w:val="auto"/>
                <w:sz w:val="20"/>
                <w:szCs w:val="20"/>
              </w:rPr>
            </w:pPr>
          </w:p>
        </w:tc>
        <w:tc>
          <w:tcPr>
            <w:tcW w:w="1475" w:type="dxa"/>
            <w:tcBorders>
              <w:top w:val="nil"/>
              <w:left w:val="nil"/>
              <w:bottom w:val="single" w:color="auto" w:sz="4" w:space="0"/>
              <w:right w:val="single" w:color="auto" w:sz="4" w:space="0"/>
            </w:tcBorders>
            <w:noWrap w:val="0"/>
            <w:vAlign w:val="center"/>
          </w:tcPr>
          <w:p w14:paraId="340CEB41">
            <w:pPr>
              <w:rPr>
                <w:rFonts w:ascii="宋体" w:hAnsi="宋体" w:cs="宋体"/>
                <w:color w:val="auto"/>
                <w:sz w:val="20"/>
                <w:szCs w:val="20"/>
              </w:rPr>
            </w:pPr>
            <w:r>
              <w:rPr>
                <w:rFonts w:hint="eastAsia"/>
                <w:color w:val="auto"/>
                <w:sz w:val="20"/>
                <w:szCs w:val="20"/>
              </w:rPr>
              <w:t xml:space="preserve">   其中：财政拨款</w:t>
            </w:r>
          </w:p>
        </w:tc>
        <w:tc>
          <w:tcPr>
            <w:tcW w:w="1781" w:type="dxa"/>
            <w:gridSpan w:val="2"/>
            <w:tcBorders>
              <w:top w:val="single" w:color="auto" w:sz="4" w:space="0"/>
              <w:left w:val="nil"/>
              <w:bottom w:val="single" w:color="auto" w:sz="4" w:space="0"/>
              <w:right w:val="single" w:color="auto" w:sz="4" w:space="0"/>
            </w:tcBorders>
            <w:noWrap w:val="0"/>
            <w:vAlign w:val="center"/>
          </w:tcPr>
          <w:p w14:paraId="1726C424">
            <w:pPr>
              <w:jc w:val="center"/>
              <w:rPr>
                <w:rFonts w:ascii="宋体" w:hAnsi="宋体" w:cs="宋体"/>
                <w:color w:val="auto"/>
                <w:sz w:val="20"/>
                <w:szCs w:val="20"/>
              </w:rPr>
            </w:pPr>
            <w:r>
              <w:rPr>
                <w:rFonts w:hint="eastAsia"/>
                <w:color w:val="auto"/>
                <w:sz w:val="20"/>
                <w:szCs w:val="20"/>
              </w:rPr>
              <w:t>　</w:t>
            </w:r>
          </w:p>
        </w:tc>
        <w:tc>
          <w:tcPr>
            <w:tcW w:w="2549" w:type="dxa"/>
            <w:gridSpan w:val="2"/>
            <w:tcBorders>
              <w:top w:val="single" w:color="auto" w:sz="4" w:space="0"/>
              <w:left w:val="nil"/>
              <w:bottom w:val="single" w:color="auto" w:sz="4" w:space="0"/>
              <w:right w:val="single" w:color="auto" w:sz="4" w:space="0"/>
            </w:tcBorders>
            <w:noWrap w:val="0"/>
            <w:vAlign w:val="center"/>
          </w:tcPr>
          <w:p w14:paraId="564472FF">
            <w:pPr>
              <w:rPr>
                <w:rFonts w:ascii="宋体" w:hAnsi="宋体" w:cs="宋体"/>
                <w:color w:val="auto"/>
                <w:sz w:val="20"/>
                <w:szCs w:val="20"/>
              </w:rPr>
            </w:pPr>
            <w:r>
              <w:rPr>
                <w:rFonts w:hint="eastAsia"/>
                <w:color w:val="auto"/>
                <w:sz w:val="20"/>
                <w:szCs w:val="20"/>
              </w:rPr>
              <w:t xml:space="preserve">   其中：财政拨款</w:t>
            </w:r>
          </w:p>
        </w:tc>
        <w:tc>
          <w:tcPr>
            <w:tcW w:w="1542" w:type="dxa"/>
            <w:gridSpan w:val="2"/>
            <w:tcBorders>
              <w:top w:val="single" w:color="auto" w:sz="4" w:space="0"/>
              <w:left w:val="nil"/>
              <w:bottom w:val="single" w:color="auto" w:sz="4" w:space="0"/>
              <w:right w:val="single" w:color="000000" w:sz="4" w:space="0"/>
            </w:tcBorders>
            <w:noWrap w:val="0"/>
            <w:vAlign w:val="center"/>
          </w:tcPr>
          <w:p w14:paraId="6EC340A1">
            <w:pPr>
              <w:jc w:val="center"/>
              <w:rPr>
                <w:rFonts w:hint="eastAsia" w:ascii="宋体" w:hAnsi="宋体" w:eastAsia="宋体" w:cs="宋体"/>
                <w:color w:val="auto"/>
                <w:sz w:val="20"/>
                <w:szCs w:val="20"/>
                <w:lang w:val="en-US" w:eastAsia="zh-CN"/>
              </w:rPr>
            </w:pPr>
            <w:r>
              <w:rPr>
                <w:rFonts w:hint="eastAsia"/>
                <w:color w:val="auto"/>
                <w:sz w:val="20"/>
                <w:szCs w:val="20"/>
                <w:lang w:val="en-US" w:eastAsia="zh-CN"/>
              </w:rPr>
              <w:t>2</w:t>
            </w:r>
            <w:r>
              <w:rPr>
                <w:rFonts w:hint="eastAsia"/>
                <w:color w:val="auto"/>
                <w:sz w:val="20"/>
                <w:szCs w:val="20"/>
              </w:rPr>
              <w:t>　</w:t>
            </w:r>
            <w:r>
              <w:rPr>
                <w:rFonts w:hint="eastAsia"/>
                <w:color w:val="auto"/>
                <w:sz w:val="20"/>
                <w:szCs w:val="20"/>
                <w:lang w:eastAsia="zh-CN"/>
              </w:rPr>
              <w:t>万</w:t>
            </w:r>
          </w:p>
        </w:tc>
      </w:tr>
      <w:tr w14:paraId="5D5D91A3">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D17635B">
            <w:pPr>
              <w:rPr>
                <w:rFonts w:ascii="宋体" w:hAnsi="宋体" w:cs="宋体"/>
                <w:color w:val="auto"/>
                <w:sz w:val="20"/>
                <w:szCs w:val="20"/>
              </w:rPr>
            </w:pPr>
          </w:p>
        </w:tc>
        <w:tc>
          <w:tcPr>
            <w:tcW w:w="1475" w:type="dxa"/>
            <w:tcBorders>
              <w:top w:val="nil"/>
              <w:left w:val="nil"/>
              <w:bottom w:val="single" w:color="auto" w:sz="4" w:space="0"/>
              <w:right w:val="single" w:color="auto" w:sz="4" w:space="0"/>
            </w:tcBorders>
            <w:noWrap w:val="0"/>
            <w:vAlign w:val="center"/>
          </w:tcPr>
          <w:p w14:paraId="60730C92">
            <w:pPr>
              <w:rPr>
                <w:rFonts w:ascii="宋体" w:hAnsi="宋体" w:cs="宋体"/>
                <w:color w:val="auto"/>
                <w:sz w:val="20"/>
                <w:szCs w:val="20"/>
              </w:rPr>
            </w:pPr>
            <w:r>
              <w:rPr>
                <w:rFonts w:hint="eastAsia"/>
                <w:color w:val="auto"/>
                <w:sz w:val="20"/>
                <w:szCs w:val="20"/>
              </w:rPr>
              <w:t>其他资金</w:t>
            </w:r>
          </w:p>
        </w:tc>
        <w:tc>
          <w:tcPr>
            <w:tcW w:w="1781" w:type="dxa"/>
            <w:gridSpan w:val="2"/>
            <w:tcBorders>
              <w:top w:val="single" w:color="auto" w:sz="4" w:space="0"/>
              <w:left w:val="nil"/>
              <w:bottom w:val="single" w:color="auto" w:sz="4" w:space="0"/>
              <w:right w:val="single" w:color="000000" w:sz="4" w:space="0"/>
            </w:tcBorders>
            <w:noWrap w:val="0"/>
            <w:vAlign w:val="center"/>
          </w:tcPr>
          <w:p w14:paraId="0A248538">
            <w:pPr>
              <w:jc w:val="center"/>
              <w:rPr>
                <w:rFonts w:ascii="宋体" w:hAnsi="宋体" w:cs="宋体"/>
                <w:color w:val="auto"/>
                <w:sz w:val="20"/>
                <w:szCs w:val="20"/>
              </w:rPr>
            </w:pPr>
            <w:r>
              <w:rPr>
                <w:rFonts w:hint="eastAsia"/>
                <w:color w:val="auto"/>
                <w:sz w:val="20"/>
                <w:szCs w:val="20"/>
              </w:rPr>
              <w:t>　</w:t>
            </w:r>
          </w:p>
        </w:tc>
        <w:tc>
          <w:tcPr>
            <w:tcW w:w="2549" w:type="dxa"/>
            <w:gridSpan w:val="2"/>
            <w:tcBorders>
              <w:top w:val="single" w:color="auto" w:sz="4" w:space="0"/>
              <w:left w:val="nil"/>
              <w:bottom w:val="single" w:color="auto" w:sz="4" w:space="0"/>
              <w:right w:val="single" w:color="auto" w:sz="4" w:space="0"/>
            </w:tcBorders>
            <w:noWrap w:val="0"/>
            <w:vAlign w:val="center"/>
          </w:tcPr>
          <w:p w14:paraId="4E7301DA">
            <w:pPr>
              <w:rPr>
                <w:rFonts w:ascii="宋体" w:hAnsi="宋体" w:cs="宋体"/>
                <w:color w:val="auto"/>
                <w:sz w:val="20"/>
                <w:szCs w:val="20"/>
              </w:rPr>
            </w:pPr>
            <w:r>
              <w:rPr>
                <w:rFonts w:hint="eastAsia"/>
                <w:color w:val="auto"/>
                <w:sz w:val="20"/>
                <w:szCs w:val="20"/>
              </w:rPr>
              <w:t xml:space="preserve">         其他资金</w:t>
            </w:r>
          </w:p>
        </w:tc>
        <w:tc>
          <w:tcPr>
            <w:tcW w:w="1542" w:type="dxa"/>
            <w:gridSpan w:val="2"/>
            <w:tcBorders>
              <w:top w:val="single" w:color="auto" w:sz="4" w:space="0"/>
              <w:left w:val="nil"/>
              <w:bottom w:val="single" w:color="auto" w:sz="4" w:space="0"/>
              <w:right w:val="single" w:color="000000" w:sz="4" w:space="0"/>
            </w:tcBorders>
            <w:noWrap w:val="0"/>
            <w:vAlign w:val="center"/>
          </w:tcPr>
          <w:p w14:paraId="6FB2412E">
            <w:pPr>
              <w:jc w:val="center"/>
              <w:rPr>
                <w:rFonts w:ascii="宋体" w:hAnsi="宋体" w:cs="宋体"/>
                <w:color w:val="auto"/>
                <w:sz w:val="20"/>
                <w:szCs w:val="20"/>
              </w:rPr>
            </w:pPr>
            <w:r>
              <w:rPr>
                <w:rFonts w:hint="eastAsia"/>
                <w:color w:val="auto"/>
                <w:sz w:val="20"/>
                <w:szCs w:val="20"/>
              </w:rPr>
              <w:t>　</w:t>
            </w:r>
          </w:p>
        </w:tc>
      </w:tr>
      <w:tr w14:paraId="25D5DC5A">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281B5F7">
            <w:pPr>
              <w:jc w:val="center"/>
              <w:rPr>
                <w:rFonts w:ascii="宋体" w:hAnsi="宋体" w:cs="宋体"/>
                <w:color w:val="auto"/>
                <w:sz w:val="20"/>
                <w:szCs w:val="20"/>
              </w:rPr>
            </w:pPr>
            <w:r>
              <w:rPr>
                <w:rFonts w:hint="eastAsia"/>
                <w:color w:val="auto"/>
                <w:sz w:val="20"/>
                <w:szCs w:val="20"/>
              </w:rPr>
              <w:t>总</w:t>
            </w:r>
            <w:r>
              <w:rPr>
                <w:rFonts w:hint="eastAsia"/>
                <w:color w:val="auto"/>
                <w:sz w:val="20"/>
                <w:szCs w:val="20"/>
              </w:rPr>
              <w:br w:type="textWrapping"/>
            </w:r>
            <w:r>
              <w:rPr>
                <w:rFonts w:hint="eastAsia"/>
                <w:color w:val="auto"/>
                <w:sz w:val="20"/>
                <w:szCs w:val="20"/>
              </w:rPr>
              <w:t>体</w:t>
            </w:r>
            <w:r>
              <w:rPr>
                <w:rFonts w:hint="eastAsia"/>
                <w:color w:val="auto"/>
                <w:sz w:val="20"/>
                <w:szCs w:val="20"/>
              </w:rPr>
              <w:br w:type="textWrapping"/>
            </w:r>
            <w:r>
              <w:rPr>
                <w:rFonts w:hint="eastAsia"/>
                <w:color w:val="auto"/>
                <w:sz w:val="20"/>
                <w:szCs w:val="20"/>
              </w:rPr>
              <w:t>目</w:t>
            </w:r>
            <w:r>
              <w:rPr>
                <w:rFonts w:hint="eastAsia"/>
                <w:color w:val="auto"/>
                <w:sz w:val="20"/>
                <w:szCs w:val="20"/>
              </w:rPr>
              <w:br w:type="textWrapping"/>
            </w:r>
            <w:r>
              <w:rPr>
                <w:rFonts w:hint="eastAsia"/>
                <w:color w:val="auto"/>
                <w:sz w:val="20"/>
                <w:szCs w:val="20"/>
              </w:rPr>
              <w:t>标</w:t>
            </w:r>
          </w:p>
        </w:tc>
        <w:tc>
          <w:tcPr>
            <w:tcW w:w="4715" w:type="dxa"/>
            <w:gridSpan w:val="5"/>
            <w:tcBorders>
              <w:top w:val="single" w:color="auto" w:sz="4" w:space="0"/>
              <w:left w:val="nil"/>
              <w:bottom w:val="single" w:color="auto" w:sz="4" w:space="0"/>
              <w:right w:val="nil"/>
            </w:tcBorders>
            <w:noWrap w:val="0"/>
            <w:vAlign w:val="center"/>
          </w:tcPr>
          <w:p w14:paraId="030528B1">
            <w:pPr>
              <w:jc w:val="center"/>
              <w:rPr>
                <w:rFonts w:ascii="宋体" w:hAnsi="宋体" w:cs="宋体"/>
                <w:color w:val="auto"/>
                <w:sz w:val="20"/>
                <w:szCs w:val="20"/>
              </w:rPr>
            </w:pPr>
            <w:r>
              <w:rPr>
                <w:rFonts w:hint="eastAsia"/>
                <w:color w:val="auto"/>
                <w:sz w:val="20"/>
                <w:szCs w:val="20"/>
              </w:rPr>
              <w:t>中期目标（20××年—20××+n年）</w:t>
            </w:r>
          </w:p>
        </w:tc>
        <w:tc>
          <w:tcPr>
            <w:tcW w:w="4091" w:type="dxa"/>
            <w:gridSpan w:val="4"/>
            <w:tcBorders>
              <w:top w:val="single" w:color="auto" w:sz="4" w:space="0"/>
              <w:left w:val="single" w:color="auto" w:sz="4" w:space="0"/>
              <w:bottom w:val="single" w:color="auto" w:sz="4" w:space="0"/>
              <w:right w:val="single" w:color="000000" w:sz="4" w:space="0"/>
            </w:tcBorders>
            <w:noWrap w:val="0"/>
            <w:vAlign w:val="center"/>
          </w:tcPr>
          <w:p w14:paraId="2E5FAB80">
            <w:pPr>
              <w:jc w:val="center"/>
              <w:rPr>
                <w:rFonts w:ascii="宋体" w:hAnsi="宋体" w:cs="宋体"/>
                <w:color w:val="auto"/>
                <w:sz w:val="20"/>
                <w:szCs w:val="20"/>
              </w:rPr>
            </w:pPr>
            <w:r>
              <w:rPr>
                <w:rFonts w:hint="eastAsia"/>
                <w:color w:val="auto"/>
                <w:sz w:val="20"/>
                <w:szCs w:val="20"/>
              </w:rPr>
              <w:t>年度目标</w:t>
            </w:r>
          </w:p>
        </w:tc>
      </w:tr>
      <w:tr w14:paraId="2A0F08DF">
        <w:tblPrEx>
          <w:tblCellMar>
            <w:top w:w="0" w:type="dxa"/>
            <w:left w:w="108" w:type="dxa"/>
            <w:bottom w:w="0" w:type="dxa"/>
            <w:right w:w="108" w:type="dxa"/>
          </w:tblCellMar>
        </w:tblPrEx>
        <w:trPr>
          <w:trHeight w:val="963"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39B70911">
            <w:pPr>
              <w:rPr>
                <w:rFonts w:ascii="宋体" w:hAnsi="宋体" w:cs="宋体"/>
                <w:color w:val="auto"/>
                <w:sz w:val="20"/>
                <w:szCs w:val="20"/>
              </w:rPr>
            </w:pPr>
          </w:p>
        </w:tc>
        <w:tc>
          <w:tcPr>
            <w:tcW w:w="4715" w:type="dxa"/>
            <w:gridSpan w:val="5"/>
            <w:tcBorders>
              <w:top w:val="single" w:color="auto" w:sz="4" w:space="0"/>
              <w:left w:val="nil"/>
              <w:bottom w:val="single" w:color="auto" w:sz="4" w:space="0"/>
              <w:right w:val="nil"/>
            </w:tcBorders>
            <w:noWrap w:val="0"/>
            <w:vAlign w:val="top"/>
          </w:tcPr>
          <w:p w14:paraId="1B1BAD73">
            <w:pPr>
              <w:rPr>
                <w:rFonts w:ascii="宋体" w:hAnsi="宋体" w:cs="宋体"/>
                <w:color w:val="auto"/>
                <w:sz w:val="20"/>
                <w:szCs w:val="20"/>
              </w:rPr>
            </w:pPr>
            <w:r>
              <w:rPr>
                <w:rFonts w:hint="eastAsia"/>
                <w:color w:val="auto"/>
                <w:sz w:val="20"/>
                <w:szCs w:val="20"/>
              </w:rPr>
              <w:t xml:space="preserve"> </w:t>
            </w:r>
            <w:r>
              <w:rPr>
                <w:rFonts w:hint="eastAsia"/>
                <w:color w:val="auto"/>
                <w:sz w:val="20"/>
                <w:szCs w:val="20"/>
                <w:lang w:eastAsia="zh-CN"/>
              </w:rPr>
              <w:t>本项目的顺利实施，能够有效保障质监站日常工作的开展</w:t>
            </w:r>
            <w:r>
              <w:rPr>
                <w:rFonts w:hint="eastAsia"/>
                <w:color w:val="auto"/>
                <w:sz w:val="20"/>
                <w:szCs w:val="20"/>
              </w:rPr>
              <w:br w:type="textWrapping"/>
            </w:r>
          </w:p>
        </w:tc>
        <w:tc>
          <w:tcPr>
            <w:tcW w:w="4091" w:type="dxa"/>
            <w:gridSpan w:val="4"/>
            <w:tcBorders>
              <w:top w:val="single" w:color="auto" w:sz="4" w:space="0"/>
              <w:left w:val="single" w:color="auto" w:sz="4" w:space="0"/>
              <w:bottom w:val="single" w:color="auto" w:sz="4" w:space="0"/>
              <w:right w:val="single" w:color="000000" w:sz="4" w:space="0"/>
            </w:tcBorders>
            <w:noWrap w:val="0"/>
            <w:vAlign w:val="top"/>
          </w:tcPr>
          <w:p w14:paraId="7FAA57A6">
            <w:pPr>
              <w:rPr>
                <w:rFonts w:ascii="宋体" w:hAnsi="宋体" w:cs="宋体"/>
                <w:color w:val="auto"/>
                <w:sz w:val="20"/>
                <w:szCs w:val="20"/>
              </w:rPr>
            </w:pPr>
            <w:r>
              <w:rPr>
                <w:rFonts w:hint="eastAsia"/>
                <w:color w:val="auto"/>
                <w:sz w:val="20"/>
                <w:szCs w:val="20"/>
                <w:lang w:eastAsia="zh-CN"/>
              </w:rPr>
              <w:t>本项目的顺利实施，能够有效保障质监站日常工作的开展</w:t>
            </w:r>
            <w:r>
              <w:rPr>
                <w:rFonts w:hint="eastAsia"/>
                <w:color w:val="auto"/>
                <w:sz w:val="20"/>
                <w:szCs w:val="20"/>
              </w:rPr>
              <w:br w:type="textWrapping"/>
            </w:r>
          </w:p>
        </w:tc>
      </w:tr>
      <w:tr w14:paraId="2E4D4D1D">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73F87F20">
            <w:pPr>
              <w:jc w:val="center"/>
              <w:rPr>
                <w:rFonts w:ascii="宋体" w:hAnsi="宋体" w:cs="宋体"/>
                <w:color w:val="auto"/>
                <w:sz w:val="20"/>
                <w:szCs w:val="20"/>
              </w:rPr>
            </w:pPr>
            <w:r>
              <w:rPr>
                <w:rFonts w:hint="eastAsia"/>
                <w:color w:val="auto"/>
                <w:sz w:val="20"/>
                <w:szCs w:val="20"/>
              </w:rPr>
              <w:t>绩</w:t>
            </w:r>
            <w:r>
              <w:rPr>
                <w:rFonts w:hint="eastAsia"/>
                <w:color w:val="auto"/>
                <w:sz w:val="20"/>
                <w:szCs w:val="20"/>
              </w:rPr>
              <w:br w:type="textWrapping"/>
            </w:r>
            <w:r>
              <w:rPr>
                <w:rFonts w:hint="eastAsia"/>
                <w:color w:val="auto"/>
                <w:sz w:val="20"/>
                <w:szCs w:val="20"/>
              </w:rPr>
              <w:t>效</w:t>
            </w:r>
            <w:r>
              <w:rPr>
                <w:rFonts w:hint="eastAsia"/>
                <w:color w:val="auto"/>
                <w:sz w:val="20"/>
                <w:szCs w:val="20"/>
              </w:rPr>
              <w:br w:type="textWrapping"/>
            </w:r>
            <w:r>
              <w:rPr>
                <w:rFonts w:hint="eastAsia"/>
                <w:color w:val="auto"/>
                <w:sz w:val="20"/>
                <w:szCs w:val="20"/>
              </w:rPr>
              <w:t>指</w:t>
            </w:r>
            <w:r>
              <w:rPr>
                <w:rFonts w:hint="eastAsia"/>
                <w:color w:val="auto"/>
                <w:sz w:val="20"/>
                <w:szCs w:val="20"/>
              </w:rPr>
              <w:br w:type="textWrapping"/>
            </w:r>
            <w:r>
              <w:rPr>
                <w:rFonts w:hint="eastAsia"/>
                <w:color w:val="auto"/>
                <w:sz w:val="20"/>
                <w:szCs w:val="20"/>
              </w:rPr>
              <w:t>标</w:t>
            </w:r>
          </w:p>
        </w:tc>
        <w:tc>
          <w:tcPr>
            <w:tcW w:w="820" w:type="dxa"/>
            <w:tcBorders>
              <w:top w:val="nil"/>
              <w:left w:val="nil"/>
              <w:bottom w:val="nil"/>
              <w:right w:val="single" w:color="auto" w:sz="4" w:space="0"/>
            </w:tcBorders>
            <w:noWrap w:val="0"/>
            <w:vAlign w:val="center"/>
          </w:tcPr>
          <w:p w14:paraId="0A617F3F">
            <w:pPr>
              <w:jc w:val="center"/>
              <w:rPr>
                <w:rFonts w:ascii="宋体" w:hAnsi="宋体" w:cs="宋体"/>
                <w:color w:val="auto"/>
                <w:sz w:val="20"/>
                <w:szCs w:val="20"/>
              </w:rPr>
            </w:pPr>
            <w:r>
              <w:rPr>
                <w:rFonts w:hint="eastAsia"/>
                <w:color w:val="auto"/>
                <w:sz w:val="20"/>
                <w:szCs w:val="20"/>
              </w:rPr>
              <w:t>一级</w:t>
            </w:r>
            <w:r>
              <w:rPr>
                <w:rFonts w:hint="eastAsia"/>
                <w:color w:val="auto"/>
                <w:sz w:val="20"/>
                <w:szCs w:val="20"/>
              </w:rPr>
              <w:br w:type="textWrapping"/>
            </w:r>
            <w:r>
              <w:rPr>
                <w:rFonts w:hint="eastAsia"/>
                <w:color w:val="auto"/>
                <w:sz w:val="20"/>
                <w:szCs w:val="20"/>
              </w:rPr>
              <w:t>指标</w:t>
            </w:r>
          </w:p>
        </w:tc>
        <w:tc>
          <w:tcPr>
            <w:tcW w:w="639" w:type="dxa"/>
            <w:tcBorders>
              <w:top w:val="nil"/>
              <w:left w:val="nil"/>
              <w:bottom w:val="single" w:color="auto" w:sz="4" w:space="0"/>
              <w:right w:val="single" w:color="auto" w:sz="4" w:space="0"/>
            </w:tcBorders>
            <w:noWrap w:val="0"/>
            <w:vAlign w:val="center"/>
          </w:tcPr>
          <w:p w14:paraId="501C048D">
            <w:pPr>
              <w:jc w:val="center"/>
              <w:rPr>
                <w:color w:val="auto"/>
                <w:sz w:val="20"/>
                <w:szCs w:val="20"/>
              </w:rPr>
            </w:pPr>
            <w:r>
              <w:rPr>
                <w:rFonts w:hint="eastAsia"/>
                <w:color w:val="auto"/>
                <w:sz w:val="20"/>
                <w:szCs w:val="20"/>
              </w:rPr>
              <w:t>二级</w:t>
            </w:r>
          </w:p>
          <w:p w14:paraId="339BC5A0">
            <w:pPr>
              <w:jc w:val="center"/>
              <w:rPr>
                <w:rFonts w:ascii="宋体" w:hAnsi="宋体" w:cs="宋体"/>
                <w:color w:val="auto"/>
                <w:sz w:val="20"/>
                <w:szCs w:val="20"/>
              </w:rPr>
            </w:pPr>
            <w:r>
              <w:rPr>
                <w:rFonts w:hint="eastAsia"/>
                <w:color w:val="auto"/>
                <w:sz w:val="20"/>
                <w:szCs w:val="20"/>
              </w:rPr>
              <w:t>指标</w:t>
            </w:r>
          </w:p>
        </w:tc>
        <w:tc>
          <w:tcPr>
            <w:tcW w:w="1475" w:type="dxa"/>
            <w:tcBorders>
              <w:top w:val="nil"/>
              <w:left w:val="nil"/>
              <w:bottom w:val="single" w:color="auto" w:sz="4" w:space="0"/>
              <w:right w:val="single" w:color="auto" w:sz="4" w:space="0"/>
            </w:tcBorders>
            <w:noWrap w:val="0"/>
            <w:vAlign w:val="center"/>
          </w:tcPr>
          <w:p w14:paraId="2C7A9172">
            <w:pPr>
              <w:jc w:val="center"/>
              <w:rPr>
                <w:rFonts w:ascii="宋体" w:hAnsi="宋体" w:cs="宋体"/>
                <w:color w:val="auto"/>
                <w:sz w:val="20"/>
                <w:szCs w:val="20"/>
              </w:rPr>
            </w:pPr>
            <w:r>
              <w:rPr>
                <w:rFonts w:hint="eastAsia"/>
                <w:color w:val="auto"/>
                <w:sz w:val="20"/>
                <w:szCs w:val="20"/>
              </w:rPr>
              <w:t>三级指标</w:t>
            </w:r>
          </w:p>
        </w:tc>
        <w:tc>
          <w:tcPr>
            <w:tcW w:w="1050" w:type="dxa"/>
            <w:tcBorders>
              <w:top w:val="nil"/>
              <w:left w:val="nil"/>
              <w:bottom w:val="single" w:color="auto" w:sz="4" w:space="0"/>
              <w:right w:val="single" w:color="auto" w:sz="4" w:space="0"/>
            </w:tcBorders>
            <w:noWrap w:val="0"/>
            <w:vAlign w:val="center"/>
          </w:tcPr>
          <w:p w14:paraId="2C6B14EE">
            <w:pPr>
              <w:jc w:val="center"/>
              <w:rPr>
                <w:rFonts w:ascii="宋体" w:hAnsi="宋体" w:cs="宋体"/>
                <w:color w:val="auto"/>
                <w:sz w:val="20"/>
                <w:szCs w:val="20"/>
              </w:rPr>
            </w:pPr>
            <w:r>
              <w:rPr>
                <w:rFonts w:hint="eastAsia"/>
                <w:color w:val="auto"/>
                <w:sz w:val="20"/>
                <w:szCs w:val="20"/>
              </w:rPr>
              <w:t>指标值</w:t>
            </w:r>
          </w:p>
        </w:tc>
        <w:tc>
          <w:tcPr>
            <w:tcW w:w="731" w:type="dxa"/>
            <w:tcBorders>
              <w:top w:val="nil"/>
              <w:left w:val="nil"/>
              <w:bottom w:val="single" w:color="auto" w:sz="4" w:space="0"/>
              <w:right w:val="single" w:color="auto" w:sz="4" w:space="0"/>
            </w:tcBorders>
            <w:noWrap w:val="0"/>
            <w:vAlign w:val="center"/>
          </w:tcPr>
          <w:p w14:paraId="0B45B83A">
            <w:pPr>
              <w:jc w:val="center"/>
              <w:rPr>
                <w:rFonts w:ascii="宋体" w:hAnsi="宋体" w:cs="宋体"/>
                <w:color w:val="auto"/>
                <w:sz w:val="20"/>
                <w:szCs w:val="20"/>
              </w:rPr>
            </w:pPr>
            <w:r>
              <w:rPr>
                <w:rFonts w:hint="eastAsia"/>
                <w:color w:val="auto"/>
                <w:sz w:val="20"/>
                <w:szCs w:val="20"/>
              </w:rPr>
              <w:t>绩效标准</w:t>
            </w:r>
          </w:p>
        </w:tc>
        <w:tc>
          <w:tcPr>
            <w:tcW w:w="697" w:type="dxa"/>
            <w:tcBorders>
              <w:top w:val="nil"/>
              <w:left w:val="nil"/>
              <w:bottom w:val="single" w:color="auto" w:sz="4" w:space="0"/>
              <w:right w:val="single" w:color="auto" w:sz="4" w:space="0"/>
            </w:tcBorders>
            <w:noWrap w:val="0"/>
            <w:vAlign w:val="center"/>
          </w:tcPr>
          <w:p w14:paraId="0C5D8D05">
            <w:pPr>
              <w:jc w:val="center"/>
              <w:rPr>
                <w:color w:val="auto"/>
                <w:sz w:val="20"/>
                <w:szCs w:val="20"/>
              </w:rPr>
            </w:pPr>
            <w:r>
              <w:rPr>
                <w:rFonts w:hint="eastAsia"/>
                <w:color w:val="auto"/>
                <w:sz w:val="20"/>
                <w:szCs w:val="20"/>
              </w:rPr>
              <w:t>二级</w:t>
            </w:r>
          </w:p>
          <w:p w14:paraId="768EC489">
            <w:pPr>
              <w:jc w:val="center"/>
              <w:rPr>
                <w:rFonts w:ascii="宋体" w:hAnsi="宋体" w:cs="宋体"/>
                <w:color w:val="auto"/>
                <w:sz w:val="20"/>
                <w:szCs w:val="20"/>
              </w:rPr>
            </w:pPr>
            <w:r>
              <w:rPr>
                <w:rFonts w:hint="eastAsia"/>
                <w:color w:val="auto"/>
                <w:sz w:val="20"/>
                <w:szCs w:val="20"/>
              </w:rPr>
              <w:t>指标</w:t>
            </w:r>
          </w:p>
        </w:tc>
        <w:tc>
          <w:tcPr>
            <w:tcW w:w="1852" w:type="dxa"/>
            <w:tcBorders>
              <w:top w:val="nil"/>
              <w:left w:val="nil"/>
              <w:bottom w:val="single" w:color="auto" w:sz="4" w:space="0"/>
              <w:right w:val="nil"/>
            </w:tcBorders>
            <w:noWrap w:val="0"/>
            <w:vAlign w:val="center"/>
          </w:tcPr>
          <w:p w14:paraId="4127F35D">
            <w:pPr>
              <w:jc w:val="center"/>
              <w:rPr>
                <w:rFonts w:ascii="宋体" w:hAnsi="宋体" w:cs="宋体"/>
                <w:color w:val="auto"/>
                <w:sz w:val="20"/>
                <w:szCs w:val="20"/>
              </w:rPr>
            </w:pPr>
            <w:r>
              <w:rPr>
                <w:rFonts w:hint="eastAsia"/>
                <w:color w:val="auto"/>
                <w:sz w:val="20"/>
                <w:szCs w:val="20"/>
              </w:rPr>
              <w:t>三级指标</w:t>
            </w:r>
          </w:p>
        </w:tc>
        <w:tc>
          <w:tcPr>
            <w:tcW w:w="705" w:type="dxa"/>
            <w:tcBorders>
              <w:top w:val="nil"/>
              <w:left w:val="single" w:color="auto" w:sz="4" w:space="0"/>
              <w:bottom w:val="single" w:color="auto" w:sz="4" w:space="0"/>
              <w:right w:val="single" w:color="auto" w:sz="4" w:space="0"/>
            </w:tcBorders>
            <w:noWrap w:val="0"/>
            <w:vAlign w:val="center"/>
          </w:tcPr>
          <w:p w14:paraId="30C7B130">
            <w:pPr>
              <w:jc w:val="center"/>
              <w:rPr>
                <w:rFonts w:ascii="宋体" w:hAnsi="宋体" w:cs="宋体"/>
                <w:color w:val="auto"/>
                <w:sz w:val="20"/>
                <w:szCs w:val="20"/>
              </w:rPr>
            </w:pPr>
            <w:r>
              <w:rPr>
                <w:rFonts w:hint="eastAsia"/>
                <w:color w:val="auto"/>
                <w:sz w:val="20"/>
                <w:szCs w:val="20"/>
              </w:rPr>
              <w:t>指标值</w:t>
            </w:r>
          </w:p>
        </w:tc>
        <w:tc>
          <w:tcPr>
            <w:tcW w:w="837" w:type="dxa"/>
            <w:tcBorders>
              <w:top w:val="nil"/>
              <w:left w:val="nil"/>
              <w:bottom w:val="single" w:color="auto" w:sz="4" w:space="0"/>
              <w:right w:val="single" w:color="auto" w:sz="4" w:space="0"/>
            </w:tcBorders>
            <w:noWrap w:val="0"/>
            <w:vAlign w:val="center"/>
          </w:tcPr>
          <w:p w14:paraId="430011EB">
            <w:pPr>
              <w:jc w:val="center"/>
              <w:rPr>
                <w:rFonts w:ascii="宋体" w:hAnsi="宋体" w:cs="宋体"/>
                <w:color w:val="auto"/>
                <w:sz w:val="20"/>
                <w:szCs w:val="20"/>
              </w:rPr>
            </w:pPr>
            <w:r>
              <w:rPr>
                <w:rFonts w:hint="eastAsia"/>
                <w:color w:val="auto"/>
                <w:sz w:val="20"/>
                <w:szCs w:val="20"/>
              </w:rPr>
              <w:t>绩效标准</w:t>
            </w:r>
          </w:p>
        </w:tc>
      </w:tr>
      <w:tr w14:paraId="052B6C6C">
        <w:tblPrEx>
          <w:tblCellMar>
            <w:top w:w="0" w:type="dxa"/>
            <w:left w:w="108" w:type="dxa"/>
            <w:bottom w:w="0" w:type="dxa"/>
            <w:right w:w="108" w:type="dxa"/>
          </w:tblCellMar>
        </w:tblPrEx>
        <w:trPr>
          <w:trHeight w:val="858"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F87DB2B">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7C018293">
            <w:pPr>
              <w:jc w:val="center"/>
              <w:rPr>
                <w:rFonts w:ascii="宋体" w:hAnsi="宋体" w:cs="宋体"/>
                <w:color w:val="auto"/>
                <w:sz w:val="20"/>
                <w:szCs w:val="20"/>
              </w:rPr>
            </w:pPr>
            <w:r>
              <w:rPr>
                <w:rFonts w:hint="eastAsia"/>
                <w:color w:val="auto"/>
                <w:sz w:val="20"/>
                <w:szCs w:val="20"/>
              </w:rPr>
              <w:t>产</w:t>
            </w:r>
            <w:r>
              <w:rPr>
                <w:rFonts w:hint="eastAsia"/>
                <w:color w:val="auto"/>
                <w:sz w:val="20"/>
                <w:szCs w:val="20"/>
              </w:rPr>
              <w:br w:type="textWrapping"/>
            </w:r>
            <w:r>
              <w:rPr>
                <w:rFonts w:hint="eastAsia"/>
                <w:color w:val="auto"/>
                <w:sz w:val="20"/>
                <w:szCs w:val="20"/>
              </w:rPr>
              <w:t>出</w:t>
            </w:r>
            <w:r>
              <w:rPr>
                <w:rFonts w:hint="eastAsia"/>
                <w:color w:val="auto"/>
                <w:sz w:val="20"/>
                <w:szCs w:val="20"/>
              </w:rPr>
              <w:br w:type="textWrapping"/>
            </w:r>
            <w:r>
              <w:rPr>
                <w:rFonts w:hint="eastAsia"/>
                <w:color w:val="auto"/>
                <w:sz w:val="20"/>
                <w:szCs w:val="20"/>
              </w:rPr>
              <w:t>指</w:t>
            </w:r>
            <w:r>
              <w:rPr>
                <w:rFonts w:hint="eastAsia"/>
                <w:color w:val="auto"/>
                <w:sz w:val="20"/>
                <w:szCs w:val="20"/>
              </w:rPr>
              <w:br w:type="textWrapping"/>
            </w:r>
            <w:r>
              <w:rPr>
                <w:rFonts w:hint="eastAsia"/>
                <w:color w:val="auto"/>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413537A2">
            <w:pPr>
              <w:jc w:val="center"/>
              <w:rPr>
                <w:color w:val="auto"/>
                <w:sz w:val="20"/>
                <w:szCs w:val="20"/>
              </w:rPr>
            </w:pPr>
            <w:r>
              <w:rPr>
                <w:rFonts w:hint="eastAsia"/>
                <w:color w:val="auto"/>
                <w:sz w:val="20"/>
                <w:szCs w:val="20"/>
              </w:rPr>
              <w:t>数量</w:t>
            </w:r>
          </w:p>
          <w:p w14:paraId="20B3592C">
            <w:pPr>
              <w:jc w:val="center"/>
              <w:rPr>
                <w:rFonts w:ascii="宋体" w:hAnsi="宋体" w:cs="宋体"/>
                <w:color w:val="auto"/>
                <w:sz w:val="20"/>
                <w:szCs w:val="20"/>
              </w:rPr>
            </w:pPr>
            <w:r>
              <w:rPr>
                <w:rFonts w:hint="eastAsia"/>
                <w:color w:val="auto"/>
                <w:sz w:val="20"/>
                <w:szCs w:val="20"/>
              </w:rPr>
              <w:t>指标</w:t>
            </w:r>
          </w:p>
        </w:tc>
        <w:tc>
          <w:tcPr>
            <w:tcW w:w="1475" w:type="dxa"/>
            <w:tcBorders>
              <w:top w:val="nil"/>
              <w:left w:val="nil"/>
              <w:bottom w:val="single" w:color="auto" w:sz="4" w:space="0"/>
              <w:right w:val="single" w:color="auto" w:sz="4" w:space="0"/>
            </w:tcBorders>
            <w:noWrap w:val="0"/>
            <w:vAlign w:val="center"/>
          </w:tcPr>
          <w:p w14:paraId="1356B1A1">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预算金额</w:t>
            </w:r>
          </w:p>
        </w:tc>
        <w:tc>
          <w:tcPr>
            <w:tcW w:w="1050" w:type="dxa"/>
            <w:tcBorders>
              <w:top w:val="nil"/>
              <w:left w:val="nil"/>
              <w:bottom w:val="single" w:color="auto" w:sz="4" w:space="0"/>
              <w:right w:val="single" w:color="auto" w:sz="4" w:space="0"/>
            </w:tcBorders>
            <w:noWrap w:val="0"/>
            <w:vAlign w:val="center"/>
          </w:tcPr>
          <w:p w14:paraId="60FAAFEB">
            <w:pP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p>
        </w:tc>
        <w:tc>
          <w:tcPr>
            <w:tcW w:w="731" w:type="dxa"/>
            <w:tcBorders>
              <w:top w:val="nil"/>
              <w:left w:val="nil"/>
              <w:bottom w:val="single" w:color="auto" w:sz="4" w:space="0"/>
              <w:right w:val="single" w:color="auto" w:sz="4" w:space="0"/>
            </w:tcBorders>
            <w:noWrap w:val="0"/>
            <w:vAlign w:val="center"/>
          </w:tcPr>
          <w:p w14:paraId="0B6EBB58">
            <w:pP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万元</w:t>
            </w:r>
          </w:p>
        </w:tc>
        <w:tc>
          <w:tcPr>
            <w:tcW w:w="697" w:type="dxa"/>
            <w:tcBorders>
              <w:top w:val="nil"/>
              <w:left w:val="single" w:color="auto" w:sz="4" w:space="0"/>
              <w:bottom w:val="single" w:color="000000" w:sz="4" w:space="0"/>
              <w:right w:val="single" w:color="auto" w:sz="4" w:space="0"/>
            </w:tcBorders>
            <w:noWrap w:val="0"/>
            <w:vAlign w:val="center"/>
          </w:tcPr>
          <w:p w14:paraId="2AAC5FB1">
            <w:pPr>
              <w:jc w:val="center"/>
              <w:rPr>
                <w:color w:val="auto"/>
                <w:sz w:val="20"/>
                <w:szCs w:val="20"/>
              </w:rPr>
            </w:pPr>
            <w:r>
              <w:rPr>
                <w:rFonts w:hint="eastAsia"/>
                <w:color w:val="auto"/>
                <w:sz w:val="20"/>
                <w:szCs w:val="20"/>
              </w:rPr>
              <w:t>数量</w:t>
            </w:r>
          </w:p>
          <w:p w14:paraId="210361A5">
            <w:pPr>
              <w:jc w:val="center"/>
              <w:rPr>
                <w:rFonts w:ascii="宋体" w:hAnsi="宋体" w:cs="宋体"/>
                <w:color w:val="auto"/>
                <w:sz w:val="20"/>
                <w:szCs w:val="20"/>
              </w:rPr>
            </w:pPr>
            <w:r>
              <w:rPr>
                <w:rFonts w:hint="eastAsia"/>
                <w:color w:val="auto"/>
                <w:sz w:val="20"/>
                <w:szCs w:val="20"/>
              </w:rPr>
              <w:t>指标</w:t>
            </w:r>
          </w:p>
        </w:tc>
        <w:tc>
          <w:tcPr>
            <w:tcW w:w="1852" w:type="dxa"/>
            <w:tcBorders>
              <w:top w:val="nil"/>
              <w:left w:val="nil"/>
              <w:bottom w:val="single" w:color="auto" w:sz="4" w:space="0"/>
              <w:right w:val="single" w:color="auto" w:sz="4" w:space="0"/>
            </w:tcBorders>
            <w:noWrap w:val="0"/>
            <w:vAlign w:val="center"/>
          </w:tcPr>
          <w:p w14:paraId="0AD2216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预算金额</w:t>
            </w:r>
          </w:p>
        </w:tc>
        <w:tc>
          <w:tcPr>
            <w:tcW w:w="705" w:type="dxa"/>
            <w:tcBorders>
              <w:top w:val="nil"/>
              <w:left w:val="nil"/>
              <w:bottom w:val="single" w:color="auto" w:sz="4" w:space="0"/>
              <w:right w:val="single" w:color="auto" w:sz="4" w:space="0"/>
            </w:tcBorders>
            <w:noWrap w:val="0"/>
            <w:vAlign w:val="center"/>
          </w:tcPr>
          <w:p w14:paraId="58617AD3">
            <w:pPr>
              <w:rPr>
                <w:rFonts w:hint="eastAsia" w:ascii="宋体" w:hAnsi="宋体" w:eastAsia="宋体" w:cs="宋体"/>
                <w:color w:val="auto"/>
                <w:sz w:val="20"/>
                <w:szCs w:val="20"/>
                <w:lang w:val="en-US" w:eastAsia="zh-CN"/>
              </w:rPr>
            </w:pPr>
            <w:r>
              <w:rPr>
                <w:rFonts w:hint="eastAsia"/>
                <w:color w:val="auto"/>
                <w:sz w:val="20"/>
                <w:szCs w:val="20"/>
                <w:lang w:val="en-US" w:eastAsia="zh-CN"/>
              </w:rPr>
              <w:t>2</w:t>
            </w:r>
          </w:p>
        </w:tc>
        <w:tc>
          <w:tcPr>
            <w:tcW w:w="837" w:type="dxa"/>
            <w:tcBorders>
              <w:top w:val="nil"/>
              <w:left w:val="nil"/>
              <w:bottom w:val="single" w:color="auto" w:sz="4" w:space="0"/>
              <w:right w:val="single" w:color="auto" w:sz="4" w:space="0"/>
            </w:tcBorders>
            <w:noWrap w:val="0"/>
            <w:vAlign w:val="center"/>
          </w:tcPr>
          <w:p w14:paraId="3A19827B">
            <w:pPr>
              <w:rPr>
                <w:rFonts w:hint="eastAsia" w:ascii="宋体" w:hAnsi="宋体" w:eastAsia="宋体" w:cs="宋体"/>
                <w:color w:val="auto"/>
                <w:sz w:val="20"/>
                <w:szCs w:val="20"/>
                <w:lang w:eastAsia="zh-CN"/>
              </w:rPr>
            </w:pPr>
            <w:r>
              <w:rPr>
                <w:rFonts w:hint="eastAsia"/>
                <w:color w:val="auto"/>
                <w:sz w:val="20"/>
                <w:szCs w:val="20"/>
              </w:rPr>
              <w:t>　</w:t>
            </w:r>
            <w:r>
              <w:rPr>
                <w:rFonts w:hint="eastAsia"/>
                <w:color w:val="auto"/>
                <w:sz w:val="20"/>
                <w:szCs w:val="20"/>
                <w:lang w:eastAsia="zh-CN"/>
              </w:rPr>
              <w:t>万元</w:t>
            </w:r>
          </w:p>
        </w:tc>
      </w:tr>
      <w:tr w14:paraId="3B89520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D78AD5E">
            <w:pPr>
              <w:rPr>
                <w:rFonts w:ascii="宋体" w:hAnsi="宋体" w:cs="宋体"/>
                <w:color w:val="auto"/>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79DEEC5">
            <w:pPr>
              <w:rPr>
                <w:rFonts w:ascii="宋体" w:hAnsi="宋体" w:cs="宋体"/>
                <w:color w:val="auto"/>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0B23C76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lang w:eastAsia="zh-CN"/>
              </w:rPr>
              <w:t>质量</w:t>
            </w:r>
          </w:p>
          <w:p w14:paraId="3BD5B5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color w:val="auto"/>
                <w:sz w:val="20"/>
                <w:szCs w:val="20"/>
              </w:rPr>
            </w:pPr>
            <w:r>
              <w:rPr>
                <w:rFonts w:hint="eastAsia" w:ascii="Times New Roman" w:hAnsi="Times New Roman" w:eastAsia="宋体" w:cs="Times New Roman"/>
                <w:color w:val="auto"/>
                <w:sz w:val="20"/>
                <w:szCs w:val="20"/>
                <w:lang w:eastAsia="zh-CN"/>
              </w:rPr>
              <w:t>指标</w:t>
            </w:r>
          </w:p>
        </w:tc>
        <w:tc>
          <w:tcPr>
            <w:tcW w:w="1475" w:type="dxa"/>
            <w:tcBorders>
              <w:top w:val="nil"/>
              <w:left w:val="nil"/>
              <w:bottom w:val="single" w:color="auto" w:sz="4" w:space="0"/>
              <w:right w:val="single" w:color="auto" w:sz="4" w:space="0"/>
            </w:tcBorders>
            <w:noWrap w:val="0"/>
            <w:vAlign w:val="center"/>
          </w:tcPr>
          <w:p w14:paraId="0DE01391">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color w:val="auto"/>
                <w:sz w:val="20"/>
                <w:szCs w:val="20"/>
              </w:rPr>
            </w:pPr>
            <w:r>
              <w:rPr>
                <w:rFonts w:hint="eastAsia" w:ascii="Times New Roman" w:hAnsi="Times New Roman" w:eastAsia="宋体" w:cs="Times New Roman"/>
                <w:color w:val="auto"/>
                <w:sz w:val="20"/>
                <w:szCs w:val="20"/>
                <w:lang w:eastAsia="zh-CN"/>
              </w:rPr>
              <w:t>保质保量</w:t>
            </w:r>
          </w:p>
        </w:tc>
        <w:tc>
          <w:tcPr>
            <w:tcW w:w="1050" w:type="dxa"/>
            <w:tcBorders>
              <w:top w:val="nil"/>
              <w:left w:val="nil"/>
              <w:bottom w:val="single" w:color="auto" w:sz="4" w:space="0"/>
              <w:right w:val="single" w:color="auto" w:sz="4" w:space="0"/>
            </w:tcBorders>
            <w:noWrap w:val="0"/>
            <w:vAlign w:val="center"/>
          </w:tcPr>
          <w:p w14:paraId="33E93106">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731" w:type="dxa"/>
            <w:tcBorders>
              <w:top w:val="nil"/>
              <w:left w:val="nil"/>
              <w:bottom w:val="single" w:color="auto" w:sz="4" w:space="0"/>
              <w:right w:val="single" w:color="auto" w:sz="4" w:space="0"/>
            </w:tcBorders>
            <w:noWrap w:val="0"/>
            <w:vAlign w:val="center"/>
          </w:tcPr>
          <w:p w14:paraId="5C68A0F1">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完成</w:t>
            </w:r>
          </w:p>
        </w:tc>
        <w:tc>
          <w:tcPr>
            <w:tcW w:w="697" w:type="dxa"/>
            <w:tcBorders>
              <w:top w:val="nil"/>
              <w:left w:val="single" w:color="auto" w:sz="4" w:space="0"/>
              <w:bottom w:val="single" w:color="000000" w:sz="4" w:space="0"/>
              <w:right w:val="single" w:color="auto" w:sz="4" w:space="0"/>
            </w:tcBorders>
            <w:noWrap w:val="0"/>
            <w:vAlign w:val="center"/>
          </w:tcPr>
          <w:p w14:paraId="5C0A864B">
            <w:pPr>
              <w:jc w:val="center"/>
              <w:rPr>
                <w:color w:val="auto"/>
                <w:sz w:val="20"/>
                <w:szCs w:val="20"/>
              </w:rPr>
            </w:pPr>
            <w:r>
              <w:rPr>
                <w:rFonts w:hint="eastAsia"/>
                <w:color w:val="auto"/>
                <w:sz w:val="20"/>
                <w:szCs w:val="20"/>
              </w:rPr>
              <w:t>质量</w:t>
            </w:r>
          </w:p>
          <w:p w14:paraId="0B12A1A2">
            <w:pPr>
              <w:jc w:val="center"/>
              <w:rPr>
                <w:rFonts w:ascii="宋体" w:hAnsi="宋体" w:cs="宋体"/>
                <w:color w:val="auto"/>
                <w:sz w:val="20"/>
                <w:szCs w:val="20"/>
              </w:rPr>
            </w:pPr>
            <w:r>
              <w:rPr>
                <w:rFonts w:hint="eastAsia"/>
                <w:color w:val="auto"/>
                <w:sz w:val="20"/>
                <w:szCs w:val="20"/>
              </w:rPr>
              <w:t>指标</w:t>
            </w:r>
          </w:p>
        </w:tc>
        <w:tc>
          <w:tcPr>
            <w:tcW w:w="1852" w:type="dxa"/>
            <w:tcBorders>
              <w:top w:val="nil"/>
              <w:left w:val="nil"/>
              <w:bottom w:val="single" w:color="auto" w:sz="4" w:space="0"/>
              <w:right w:val="single" w:color="auto" w:sz="4" w:space="0"/>
            </w:tcBorders>
            <w:noWrap w:val="0"/>
            <w:vAlign w:val="center"/>
          </w:tcPr>
          <w:p w14:paraId="62716E4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0"/>
                <w:szCs w:val="20"/>
                <w:lang w:eastAsia="zh-CN"/>
              </w:rPr>
            </w:pPr>
            <w:r>
              <w:rPr>
                <w:rFonts w:hint="eastAsia"/>
                <w:color w:val="auto"/>
                <w:sz w:val="20"/>
                <w:szCs w:val="20"/>
                <w:lang w:eastAsia="zh-CN"/>
              </w:rPr>
              <w:t>保质保量</w:t>
            </w:r>
          </w:p>
        </w:tc>
        <w:tc>
          <w:tcPr>
            <w:tcW w:w="705" w:type="dxa"/>
            <w:tcBorders>
              <w:top w:val="nil"/>
              <w:left w:val="nil"/>
              <w:bottom w:val="single" w:color="auto" w:sz="4" w:space="0"/>
              <w:right w:val="single" w:color="auto" w:sz="4" w:space="0"/>
            </w:tcBorders>
            <w:noWrap w:val="0"/>
            <w:vAlign w:val="center"/>
          </w:tcPr>
          <w:p w14:paraId="3F09F219">
            <w:pPr>
              <w:rPr>
                <w:rFonts w:ascii="宋体" w:hAnsi="宋体" w:cs="宋体"/>
                <w:color w:val="auto"/>
                <w:sz w:val="20"/>
                <w:szCs w:val="20"/>
              </w:rPr>
            </w:pPr>
            <w:r>
              <w:rPr>
                <w:rFonts w:hint="eastAsia"/>
                <w:color w:val="auto"/>
                <w:sz w:val="20"/>
                <w:szCs w:val="20"/>
              </w:rPr>
              <w:t>　100%</w:t>
            </w:r>
          </w:p>
        </w:tc>
        <w:tc>
          <w:tcPr>
            <w:tcW w:w="837" w:type="dxa"/>
            <w:tcBorders>
              <w:top w:val="nil"/>
              <w:left w:val="nil"/>
              <w:bottom w:val="single" w:color="auto" w:sz="4" w:space="0"/>
              <w:right w:val="single" w:color="auto" w:sz="4" w:space="0"/>
            </w:tcBorders>
            <w:noWrap w:val="0"/>
            <w:vAlign w:val="center"/>
          </w:tcPr>
          <w:p w14:paraId="620CA45B">
            <w:pPr>
              <w:rPr>
                <w:rFonts w:hint="eastAsia" w:ascii="宋体" w:hAnsi="宋体" w:eastAsia="宋体" w:cs="宋体"/>
                <w:color w:val="auto"/>
                <w:sz w:val="20"/>
                <w:szCs w:val="20"/>
                <w:lang w:eastAsia="zh-CN"/>
              </w:rPr>
            </w:pPr>
            <w:r>
              <w:rPr>
                <w:rFonts w:hint="eastAsia"/>
                <w:color w:val="auto"/>
                <w:sz w:val="20"/>
                <w:szCs w:val="20"/>
              </w:rPr>
              <w:t>　</w:t>
            </w:r>
            <w:r>
              <w:rPr>
                <w:rFonts w:hint="eastAsia"/>
                <w:color w:val="auto"/>
                <w:sz w:val="20"/>
                <w:szCs w:val="20"/>
                <w:lang w:eastAsia="zh-CN"/>
              </w:rPr>
              <w:t>完成</w:t>
            </w:r>
          </w:p>
        </w:tc>
      </w:tr>
      <w:tr w14:paraId="1089CBD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EAFDB58">
            <w:pPr>
              <w:rPr>
                <w:rFonts w:ascii="宋体" w:hAnsi="宋体" w:cs="宋体"/>
                <w:color w:val="auto"/>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640C1B3">
            <w:pPr>
              <w:rPr>
                <w:rFonts w:ascii="宋体" w:hAnsi="宋体" w:cs="宋体"/>
                <w:color w:val="auto"/>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2DE5D04D">
            <w:pPr>
              <w:jc w:val="center"/>
              <w:rPr>
                <w:color w:val="auto"/>
                <w:sz w:val="20"/>
                <w:szCs w:val="20"/>
              </w:rPr>
            </w:pPr>
            <w:r>
              <w:rPr>
                <w:rFonts w:hint="eastAsia"/>
                <w:color w:val="auto"/>
                <w:sz w:val="20"/>
                <w:szCs w:val="20"/>
              </w:rPr>
              <w:t>时效</w:t>
            </w:r>
          </w:p>
          <w:p w14:paraId="713681D0">
            <w:pPr>
              <w:jc w:val="center"/>
              <w:rPr>
                <w:rFonts w:ascii="宋体" w:hAnsi="宋体" w:cs="宋体"/>
                <w:color w:val="auto"/>
                <w:sz w:val="20"/>
                <w:szCs w:val="20"/>
              </w:rPr>
            </w:pPr>
            <w:r>
              <w:rPr>
                <w:rFonts w:hint="eastAsia"/>
                <w:color w:val="auto"/>
                <w:sz w:val="20"/>
                <w:szCs w:val="20"/>
              </w:rPr>
              <w:t>指标</w:t>
            </w:r>
          </w:p>
        </w:tc>
        <w:tc>
          <w:tcPr>
            <w:tcW w:w="1475" w:type="dxa"/>
            <w:tcBorders>
              <w:top w:val="nil"/>
              <w:left w:val="nil"/>
              <w:bottom w:val="single" w:color="auto" w:sz="4" w:space="0"/>
              <w:right w:val="single" w:color="auto" w:sz="4" w:space="0"/>
            </w:tcBorders>
            <w:noWrap w:val="0"/>
            <w:vAlign w:val="center"/>
          </w:tcPr>
          <w:p w14:paraId="45516ED9">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项目完成时间</w:t>
            </w:r>
          </w:p>
        </w:tc>
        <w:tc>
          <w:tcPr>
            <w:tcW w:w="1050" w:type="dxa"/>
            <w:tcBorders>
              <w:top w:val="nil"/>
              <w:left w:val="nil"/>
              <w:bottom w:val="single" w:color="auto" w:sz="4" w:space="0"/>
              <w:right w:val="single" w:color="auto" w:sz="4" w:space="0"/>
            </w:tcBorders>
            <w:noWrap w:val="0"/>
            <w:vAlign w:val="center"/>
          </w:tcPr>
          <w:p w14:paraId="34980526">
            <w:pP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2023年完成</w:t>
            </w:r>
          </w:p>
        </w:tc>
        <w:tc>
          <w:tcPr>
            <w:tcW w:w="731" w:type="dxa"/>
            <w:tcBorders>
              <w:top w:val="nil"/>
              <w:left w:val="nil"/>
              <w:bottom w:val="single" w:color="auto" w:sz="4" w:space="0"/>
              <w:right w:val="single" w:color="auto" w:sz="4" w:space="0"/>
            </w:tcBorders>
            <w:noWrap w:val="0"/>
            <w:vAlign w:val="center"/>
          </w:tcPr>
          <w:p w14:paraId="478035A1">
            <w:pPr>
              <w:rPr>
                <w:rFonts w:ascii="宋体" w:hAnsi="宋体" w:cs="宋体"/>
                <w:color w:val="auto"/>
                <w:sz w:val="20"/>
                <w:szCs w:val="20"/>
              </w:rPr>
            </w:pPr>
            <w:r>
              <w:rPr>
                <w:rFonts w:hint="eastAsia"/>
                <w:color w:val="auto"/>
                <w:sz w:val="20"/>
                <w:szCs w:val="20"/>
              </w:rPr>
              <w:t>　</w:t>
            </w:r>
            <w:r>
              <w:rPr>
                <w:rFonts w:hint="eastAsia"/>
                <w:color w:val="auto"/>
                <w:sz w:val="20"/>
                <w:szCs w:val="20"/>
                <w:lang w:eastAsia="zh-CN"/>
              </w:rPr>
              <w:t>优</w:t>
            </w:r>
          </w:p>
        </w:tc>
        <w:tc>
          <w:tcPr>
            <w:tcW w:w="697" w:type="dxa"/>
            <w:tcBorders>
              <w:top w:val="nil"/>
              <w:left w:val="single" w:color="auto" w:sz="4" w:space="0"/>
              <w:bottom w:val="single" w:color="000000" w:sz="4" w:space="0"/>
              <w:right w:val="single" w:color="auto" w:sz="4" w:space="0"/>
            </w:tcBorders>
            <w:noWrap w:val="0"/>
            <w:vAlign w:val="center"/>
          </w:tcPr>
          <w:p w14:paraId="6808F481">
            <w:pPr>
              <w:jc w:val="center"/>
              <w:rPr>
                <w:color w:val="auto"/>
                <w:sz w:val="20"/>
                <w:szCs w:val="20"/>
              </w:rPr>
            </w:pPr>
            <w:r>
              <w:rPr>
                <w:rFonts w:hint="eastAsia"/>
                <w:color w:val="auto"/>
                <w:sz w:val="20"/>
                <w:szCs w:val="20"/>
              </w:rPr>
              <w:t>时效</w:t>
            </w:r>
          </w:p>
          <w:p w14:paraId="10A60CB8">
            <w:pPr>
              <w:jc w:val="center"/>
              <w:rPr>
                <w:rFonts w:ascii="宋体" w:hAnsi="宋体" w:cs="宋体"/>
                <w:color w:val="auto"/>
                <w:sz w:val="20"/>
                <w:szCs w:val="20"/>
              </w:rPr>
            </w:pPr>
            <w:r>
              <w:rPr>
                <w:rFonts w:hint="eastAsia"/>
                <w:color w:val="auto"/>
                <w:sz w:val="20"/>
                <w:szCs w:val="20"/>
              </w:rPr>
              <w:t>指标</w:t>
            </w:r>
          </w:p>
        </w:tc>
        <w:tc>
          <w:tcPr>
            <w:tcW w:w="1852" w:type="dxa"/>
            <w:tcBorders>
              <w:top w:val="nil"/>
              <w:left w:val="nil"/>
              <w:bottom w:val="single" w:color="auto" w:sz="4" w:space="0"/>
              <w:right w:val="single" w:color="auto" w:sz="4" w:space="0"/>
            </w:tcBorders>
            <w:noWrap w:val="0"/>
            <w:vAlign w:val="center"/>
          </w:tcPr>
          <w:p w14:paraId="25B2F50F">
            <w:pPr>
              <w:rPr>
                <w:rFonts w:hint="default" w:ascii="宋体" w:hAnsi="宋体" w:cs="宋体"/>
                <w:b/>
                <w:bCs/>
                <w:color w:val="auto"/>
                <w:sz w:val="20"/>
                <w:szCs w:val="20"/>
                <w:lang w:val="en-US"/>
              </w:rPr>
            </w:pPr>
            <w:r>
              <w:rPr>
                <w:rFonts w:hint="eastAsia"/>
                <w:color w:val="auto"/>
                <w:sz w:val="20"/>
                <w:szCs w:val="20"/>
                <w:lang w:val="en-US" w:eastAsia="zh-CN"/>
              </w:rPr>
              <w:t>2023年完成</w:t>
            </w:r>
          </w:p>
        </w:tc>
        <w:tc>
          <w:tcPr>
            <w:tcW w:w="705" w:type="dxa"/>
            <w:tcBorders>
              <w:top w:val="nil"/>
              <w:left w:val="nil"/>
              <w:bottom w:val="single" w:color="auto" w:sz="4" w:space="0"/>
              <w:right w:val="single" w:color="auto" w:sz="4" w:space="0"/>
            </w:tcBorders>
            <w:noWrap w:val="0"/>
            <w:vAlign w:val="center"/>
          </w:tcPr>
          <w:p w14:paraId="2462A57C">
            <w:pPr>
              <w:rPr>
                <w:rFonts w:ascii="宋体" w:hAnsi="宋体" w:cs="宋体"/>
                <w:b/>
                <w:bCs/>
                <w:color w:val="auto"/>
                <w:sz w:val="20"/>
                <w:szCs w:val="20"/>
              </w:rPr>
            </w:pPr>
            <w:r>
              <w:rPr>
                <w:rFonts w:hint="eastAsia"/>
                <w:color w:val="auto"/>
                <w:sz w:val="20"/>
                <w:szCs w:val="20"/>
              </w:rPr>
              <w:t>　100%</w:t>
            </w:r>
          </w:p>
        </w:tc>
        <w:tc>
          <w:tcPr>
            <w:tcW w:w="837" w:type="dxa"/>
            <w:tcBorders>
              <w:top w:val="nil"/>
              <w:left w:val="nil"/>
              <w:bottom w:val="single" w:color="auto" w:sz="4" w:space="0"/>
              <w:right w:val="single" w:color="auto" w:sz="4" w:space="0"/>
            </w:tcBorders>
            <w:noWrap w:val="0"/>
            <w:vAlign w:val="center"/>
          </w:tcPr>
          <w:p w14:paraId="3F9C8B41">
            <w:pPr>
              <w:rPr>
                <w:rFonts w:ascii="宋体" w:hAnsi="宋体" w:cs="宋体"/>
                <w:color w:val="auto"/>
                <w:sz w:val="20"/>
                <w:szCs w:val="20"/>
              </w:rPr>
            </w:pPr>
            <w:r>
              <w:rPr>
                <w:rFonts w:hint="eastAsia"/>
                <w:color w:val="auto"/>
                <w:sz w:val="20"/>
                <w:szCs w:val="20"/>
              </w:rPr>
              <w:t>　</w:t>
            </w:r>
            <w:r>
              <w:rPr>
                <w:rFonts w:hint="eastAsia"/>
                <w:color w:val="auto"/>
                <w:sz w:val="20"/>
                <w:szCs w:val="20"/>
                <w:lang w:eastAsia="zh-CN"/>
              </w:rPr>
              <w:t>优</w:t>
            </w:r>
          </w:p>
        </w:tc>
      </w:tr>
      <w:tr w14:paraId="3F69C2AD">
        <w:tblPrEx>
          <w:tblCellMar>
            <w:top w:w="0" w:type="dxa"/>
            <w:left w:w="108" w:type="dxa"/>
            <w:bottom w:w="0" w:type="dxa"/>
            <w:right w:w="108" w:type="dxa"/>
          </w:tblCellMar>
        </w:tblPrEx>
        <w:trPr>
          <w:trHeight w:val="386"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8B88EBA">
            <w:pPr>
              <w:rPr>
                <w:rFonts w:ascii="宋体" w:hAnsi="宋体" w:cs="宋体"/>
                <w:color w:val="auto"/>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C2C9C16">
            <w:pPr>
              <w:rPr>
                <w:rFonts w:ascii="宋体" w:hAnsi="宋体" w:cs="宋体"/>
                <w:color w:val="auto"/>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12B3A50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lang w:eastAsia="zh-CN"/>
              </w:rPr>
              <w:t>成本</w:t>
            </w:r>
          </w:p>
          <w:p w14:paraId="5CD83AAB">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color w:val="auto"/>
                <w:sz w:val="20"/>
                <w:szCs w:val="20"/>
              </w:rPr>
            </w:pPr>
            <w:r>
              <w:rPr>
                <w:rFonts w:hint="eastAsia" w:ascii="Times New Roman" w:hAnsi="Times New Roman" w:eastAsia="宋体" w:cs="Times New Roman"/>
                <w:color w:val="auto"/>
                <w:sz w:val="20"/>
                <w:szCs w:val="20"/>
                <w:lang w:eastAsia="zh-CN"/>
              </w:rPr>
              <w:t>指标</w:t>
            </w:r>
          </w:p>
        </w:tc>
        <w:tc>
          <w:tcPr>
            <w:tcW w:w="1475" w:type="dxa"/>
            <w:tcBorders>
              <w:top w:val="nil"/>
              <w:left w:val="nil"/>
              <w:bottom w:val="single" w:color="auto" w:sz="4" w:space="0"/>
              <w:right w:val="single" w:color="auto" w:sz="4" w:space="0"/>
            </w:tcBorders>
            <w:noWrap w:val="0"/>
            <w:vAlign w:val="center"/>
          </w:tcPr>
          <w:p w14:paraId="5348C6D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0"/>
                <w:szCs w:val="20"/>
                <w:lang w:eastAsia="zh-CN"/>
              </w:rPr>
            </w:pPr>
            <w:r>
              <w:rPr>
                <w:rFonts w:hint="eastAsia"/>
                <w:color w:val="auto"/>
                <w:sz w:val="20"/>
                <w:szCs w:val="20"/>
              </w:rPr>
              <w:t xml:space="preserve"> </w:t>
            </w:r>
            <w:r>
              <w:rPr>
                <w:rFonts w:hint="eastAsia"/>
                <w:color w:val="auto"/>
                <w:sz w:val="20"/>
                <w:szCs w:val="20"/>
                <w:lang w:eastAsia="zh-CN"/>
              </w:rPr>
              <w:t>项目金额</w:t>
            </w:r>
          </w:p>
        </w:tc>
        <w:tc>
          <w:tcPr>
            <w:tcW w:w="1050" w:type="dxa"/>
            <w:tcBorders>
              <w:top w:val="nil"/>
              <w:left w:val="nil"/>
              <w:bottom w:val="single" w:color="auto" w:sz="4" w:space="0"/>
              <w:right w:val="single" w:color="auto" w:sz="4" w:space="0"/>
            </w:tcBorders>
            <w:noWrap w:val="0"/>
            <w:vAlign w:val="center"/>
          </w:tcPr>
          <w:p w14:paraId="65E56FE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w:t>
            </w:r>
          </w:p>
        </w:tc>
        <w:tc>
          <w:tcPr>
            <w:tcW w:w="731" w:type="dxa"/>
            <w:tcBorders>
              <w:top w:val="nil"/>
              <w:left w:val="nil"/>
              <w:bottom w:val="single" w:color="auto" w:sz="4" w:space="0"/>
              <w:right w:val="single" w:color="auto" w:sz="4" w:space="0"/>
            </w:tcBorders>
            <w:noWrap w:val="0"/>
            <w:vAlign w:val="center"/>
          </w:tcPr>
          <w:p w14:paraId="731DCE43">
            <w:pP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万元</w:t>
            </w:r>
          </w:p>
        </w:tc>
        <w:tc>
          <w:tcPr>
            <w:tcW w:w="697" w:type="dxa"/>
            <w:tcBorders>
              <w:top w:val="nil"/>
              <w:left w:val="single" w:color="auto" w:sz="4" w:space="0"/>
              <w:bottom w:val="single" w:color="000000" w:sz="4" w:space="0"/>
              <w:right w:val="single" w:color="auto" w:sz="4" w:space="0"/>
            </w:tcBorders>
            <w:noWrap w:val="0"/>
            <w:vAlign w:val="center"/>
          </w:tcPr>
          <w:p w14:paraId="37B2E768">
            <w:pPr>
              <w:jc w:val="center"/>
              <w:rPr>
                <w:color w:val="auto"/>
                <w:sz w:val="20"/>
                <w:szCs w:val="20"/>
              </w:rPr>
            </w:pPr>
            <w:r>
              <w:rPr>
                <w:rFonts w:hint="eastAsia"/>
                <w:color w:val="auto"/>
                <w:sz w:val="20"/>
                <w:szCs w:val="20"/>
              </w:rPr>
              <w:t>成本</w:t>
            </w:r>
          </w:p>
          <w:p w14:paraId="4393FE79">
            <w:pPr>
              <w:jc w:val="center"/>
              <w:rPr>
                <w:rFonts w:ascii="宋体" w:hAnsi="宋体" w:cs="宋体"/>
                <w:color w:val="auto"/>
                <w:sz w:val="20"/>
                <w:szCs w:val="20"/>
              </w:rPr>
            </w:pPr>
            <w:r>
              <w:rPr>
                <w:rFonts w:hint="eastAsia"/>
                <w:color w:val="auto"/>
                <w:sz w:val="20"/>
                <w:szCs w:val="20"/>
              </w:rPr>
              <w:t>指标</w:t>
            </w:r>
          </w:p>
        </w:tc>
        <w:tc>
          <w:tcPr>
            <w:tcW w:w="1852" w:type="dxa"/>
            <w:tcBorders>
              <w:top w:val="nil"/>
              <w:left w:val="nil"/>
              <w:bottom w:val="single" w:color="auto" w:sz="4" w:space="0"/>
              <w:right w:val="single" w:color="auto" w:sz="4" w:space="0"/>
            </w:tcBorders>
            <w:noWrap w:val="0"/>
            <w:vAlign w:val="center"/>
          </w:tcPr>
          <w:p w14:paraId="35C5659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项目金额</w:t>
            </w:r>
          </w:p>
        </w:tc>
        <w:tc>
          <w:tcPr>
            <w:tcW w:w="705" w:type="dxa"/>
            <w:tcBorders>
              <w:top w:val="nil"/>
              <w:left w:val="nil"/>
              <w:bottom w:val="single" w:color="auto" w:sz="4" w:space="0"/>
              <w:right w:val="single" w:color="auto" w:sz="4" w:space="0"/>
            </w:tcBorders>
            <w:noWrap w:val="0"/>
            <w:vAlign w:val="center"/>
          </w:tcPr>
          <w:p w14:paraId="437FAA9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w:t>
            </w:r>
          </w:p>
        </w:tc>
        <w:tc>
          <w:tcPr>
            <w:tcW w:w="837" w:type="dxa"/>
            <w:tcBorders>
              <w:top w:val="nil"/>
              <w:left w:val="nil"/>
              <w:bottom w:val="single" w:color="auto" w:sz="4" w:space="0"/>
              <w:right w:val="single" w:color="auto" w:sz="4" w:space="0"/>
            </w:tcBorders>
            <w:noWrap w:val="0"/>
            <w:vAlign w:val="center"/>
          </w:tcPr>
          <w:p w14:paraId="28537358">
            <w:pP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万元</w:t>
            </w:r>
          </w:p>
        </w:tc>
      </w:tr>
      <w:tr w14:paraId="290B82BC">
        <w:tblPrEx>
          <w:tblCellMar>
            <w:top w:w="0" w:type="dxa"/>
            <w:left w:w="108" w:type="dxa"/>
            <w:bottom w:w="0" w:type="dxa"/>
            <w:right w:w="108" w:type="dxa"/>
          </w:tblCellMar>
        </w:tblPrEx>
        <w:trPr>
          <w:trHeight w:val="711"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346AE2D">
            <w:pPr>
              <w:rPr>
                <w:rFonts w:ascii="宋体" w:hAnsi="宋体" w:cs="宋体"/>
                <w:color w:val="auto"/>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276F1A0A">
            <w:pPr>
              <w:jc w:val="center"/>
              <w:rPr>
                <w:rFonts w:ascii="宋体" w:hAnsi="宋体" w:cs="宋体"/>
                <w:color w:val="auto"/>
                <w:sz w:val="20"/>
                <w:szCs w:val="20"/>
              </w:rPr>
            </w:pPr>
            <w:r>
              <w:rPr>
                <w:rFonts w:hint="eastAsia"/>
                <w:color w:val="auto"/>
                <w:sz w:val="20"/>
                <w:szCs w:val="20"/>
              </w:rPr>
              <w:t>效</w:t>
            </w:r>
            <w:r>
              <w:rPr>
                <w:rFonts w:hint="eastAsia"/>
                <w:color w:val="auto"/>
                <w:sz w:val="20"/>
                <w:szCs w:val="20"/>
              </w:rPr>
              <w:br w:type="textWrapping"/>
            </w:r>
            <w:r>
              <w:rPr>
                <w:rFonts w:hint="eastAsia"/>
                <w:color w:val="auto"/>
                <w:sz w:val="20"/>
                <w:szCs w:val="20"/>
              </w:rPr>
              <w:t>益</w:t>
            </w:r>
            <w:r>
              <w:rPr>
                <w:rFonts w:hint="eastAsia"/>
                <w:color w:val="auto"/>
                <w:sz w:val="20"/>
                <w:szCs w:val="20"/>
              </w:rPr>
              <w:br w:type="textWrapping"/>
            </w:r>
            <w:r>
              <w:rPr>
                <w:rFonts w:hint="eastAsia"/>
                <w:color w:val="auto"/>
                <w:sz w:val="20"/>
                <w:szCs w:val="20"/>
              </w:rPr>
              <w:t>指</w:t>
            </w:r>
            <w:r>
              <w:rPr>
                <w:rFonts w:hint="eastAsia"/>
                <w:color w:val="auto"/>
                <w:sz w:val="20"/>
                <w:szCs w:val="20"/>
              </w:rPr>
              <w:br w:type="textWrapping"/>
            </w:r>
            <w:r>
              <w:rPr>
                <w:rFonts w:hint="eastAsia"/>
                <w:color w:val="auto"/>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006D0F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ascii="Times New Roman" w:hAnsi="Times New Roman" w:eastAsia="宋体" w:cs="Times New Roman"/>
                <w:color w:val="auto"/>
                <w:sz w:val="20"/>
                <w:szCs w:val="20"/>
                <w:lang w:eastAsia="zh-CN"/>
              </w:rPr>
              <w:t>经济效益指标</w:t>
            </w:r>
          </w:p>
        </w:tc>
        <w:tc>
          <w:tcPr>
            <w:tcW w:w="1475" w:type="dxa"/>
            <w:tcBorders>
              <w:top w:val="nil"/>
              <w:left w:val="nil"/>
              <w:bottom w:val="single" w:color="auto" w:sz="4" w:space="0"/>
              <w:right w:val="single" w:color="auto" w:sz="4" w:space="0"/>
            </w:tcBorders>
            <w:noWrap w:val="0"/>
            <w:vAlign w:val="center"/>
          </w:tcPr>
          <w:p w14:paraId="6AD1DCC4">
            <w:pP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经济效益显著</w:t>
            </w:r>
          </w:p>
        </w:tc>
        <w:tc>
          <w:tcPr>
            <w:tcW w:w="1050" w:type="dxa"/>
            <w:tcBorders>
              <w:top w:val="nil"/>
              <w:left w:val="nil"/>
              <w:bottom w:val="single" w:color="auto" w:sz="4" w:space="0"/>
              <w:right w:val="single" w:color="auto" w:sz="4" w:space="0"/>
            </w:tcBorders>
            <w:noWrap w:val="0"/>
            <w:vAlign w:val="center"/>
          </w:tcPr>
          <w:p w14:paraId="5C8A7990">
            <w:pP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显著</w:t>
            </w:r>
          </w:p>
        </w:tc>
        <w:tc>
          <w:tcPr>
            <w:tcW w:w="731" w:type="dxa"/>
            <w:tcBorders>
              <w:top w:val="nil"/>
              <w:left w:val="nil"/>
              <w:bottom w:val="single" w:color="auto" w:sz="4" w:space="0"/>
              <w:right w:val="single" w:color="auto" w:sz="4" w:space="0"/>
            </w:tcBorders>
            <w:noWrap w:val="0"/>
            <w:vAlign w:val="center"/>
          </w:tcPr>
          <w:p w14:paraId="2B86745F">
            <w:pPr>
              <w:rPr>
                <w:rFonts w:hint="eastAsia" w:ascii="宋体" w:hAnsi="宋体" w:eastAsia="宋体" w:cs="宋体"/>
                <w:color w:val="auto"/>
                <w:sz w:val="20"/>
                <w:szCs w:val="20"/>
                <w:lang w:eastAsia="zh-CN"/>
              </w:rPr>
            </w:pPr>
            <w:r>
              <w:rPr>
                <w:rFonts w:hint="eastAsia"/>
                <w:color w:val="auto"/>
                <w:sz w:val="20"/>
                <w:szCs w:val="20"/>
              </w:rPr>
              <w:t>　</w:t>
            </w:r>
            <w:r>
              <w:rPr>
                <w:rFonts w:hint="eastAsia"/>
                <w:color w:val="auto"/>
                <w:sz w:val="20"/>
                <w:szCs w:val="20"/>
                <w:lang w:eastAsia="zh-CN"/>
              </w:rPr>
              <w:t>优</w:t>
            </w:r>
          </w:p>
        </w:tc>
        <w:tc>
          <w:tcPr>
            <w:tcW w:w="697" w:type="dxa"/>
            <w:tcBorders>
              <w:top w:val="nil"/>
              <w:left w:val="single" w:color="auto" w:sz="4" w:space="0"/>
              <w:bottom w:val="single" w:color="000000" w:sz="4" w:space="0"/>
              <w:right w:val="single" w:color="auto" w:sz="4" w:space="0"/>
            </w:tcBorders>
            <w:noWrap w:val="0"/>
            <w:vAlign w:val="center"/>
          </w:tcPr>
          <w:p w14:paraId="28A75F0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color w:val="auto"/>
                <w:sz w:val="20"/>
                <w:szCs w:val="20"/>
              </w:rPr>
              <w:t>经济效益指标</w:t>
            </w:r>
          </w:p>
        </w:tc>
        <w:tc>
          <w:tcPr>
            <w:tcW w:w="1852" w:type="dxa"/>
            <w:tcBorders>
              <w:top w:val="nil"/>
              <w:left w:val="nil"/>
              <w:bottom w:val="single" w:color="auto" w:sz="4" w:space="0"/>
              <w:right w:val="single" w:color="auto" w:sz="4" w:space="0"/>
            </w:tcBorders>
            <w:noWrap w:val="0"/>
            <w:vAlign w:val="center"/>
          </w:tcPr>
          <w:p w14:paraId="0845CD8E">
            <w:pP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经济效益显著</w:t>
            </w:r>
          </w:p>
        </w:tc>
        <w:tc>
          <w:tcPr>
            <w:tcW w:w="705" w:type="dxa"/>
            <w:tcBorders>
              <w:top w:val="nil"/>
              <w:left w:val="nil"/>
              <w:bottom w:val="single" w:color="auto" w:sz="4" w:space="0"/>
              <w:right w:val="single" w:color="auto" w:sz="4" w:space="0"/>
            </w:tcBorders>
            <w:noWrap w:val="0"/>
            <w:vAlign w:val="center"/>
          </w:tcPr>
          <w:p w14:paraId="1576E228">
            <w:pP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显著</w:t>
            </w:r>
          </w:p>
        </w:tc>
        <w:tc>
          <w:tcPr>
            <w:tcW w:w="837" w:type="dxa"/>
            <w:tcBorders>
              <w:top w:val="nil"/>
              <w:left w:val="nil"/>
              <w:bottom w:val="single" w:color="auto" w:sz="4" w:space="0"/>
              <w:right w:val="single" w:color="auto" w:sz="4" w:space="0"/>
            </w:tcBorders>
            <w:noWrap w:val="0"/>
            <w:vAlign w:val="center"/>
          </w:tcPr>
          <w:p w14:paraId="568C5A15">
            <w:pPr>
              <w:rPr>
                <w:rFonts w:hint="eastAsia" w:ascii="宋体" w:hAnsi="宋体" w:eastAsia="宋体" w:cs="宋体"/>
                <w:color w:val="auto"/>
                <w:sz w:val="20"/>
                <w:szCs w:val="20"/>
                <w:lang w:eastAsia="zh-CN"/>
              </w:rPr>
            </w:pPr>
            <w:r>
              <w:rPr>
                <w:rFonts w:hint="eastAsia"/>
                <w:color w:val="auto"/>
                <w:sz w:val="20"/>
                <w:szCs w:val="20"/>
              </w:rPr>
              <w:t>　</w:t>
            </w:r>
            <w:r>
              <w:rPr>
                <w:rFonts w:hint="eastAsia"/>
                <w:color w:val="auto"/>
                <w:sz w:val="20"/>
                <w:szCs w:val="20"/>
                <w:lang w:eastAsia="zh-CN"/>
              </w:rPr>
              <w:t>优</w:t>
            </w:r>
          </w:p>
        </w:tc>
      </w:tr>
      <w:tr w14:paraId="088AB31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A9C12AA">
            <w:pPr>
              <w:rPr>
                <w:rFonts w:ascii="宋体" w:hAnsi="宋体" w:cs="宋体"/>
                <w:color w:val="auto"/>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5AA2D44">
            <w:pPr>
              <w:rPr>
                <w:rFonts w:ascii="宋体" w:hAnsi="宋体" w:cs="宋体"/>
                <w:color w:val="auto"/>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5F57B0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ascii="Times New Roman" w:hAnsi="Times New Roman" w:eastAsia="宋体" w:cs="Times New Roman"/>
                <w:color w:val="auto"/>
                <w:sz w:val="20"/>
                <w:szCs w:val="20"/>
                <w:lang w:eastAsia="zh-CN"/>
              </w:rPr>
              <w:t>社会效益指标</w:t>
            </w:r>
          </w:p>
        </w:tc>
        <w:tc>
          <w:tcPr>
            <w:tcW w:w="1475" w:type="dxa"/>
            <w:tcBorders>
              <w:top w:val="nil"/>
              <w:left w:val="nil"/>
              <w:bottom w:val="single" w:color="auto" w:sz="4" w:space="0"/>
              <w:right w:val="single" w:color="auto" w:sz="4" w:space="0"/>
            </w:tcBorders>
            <w:noWrap w:val="0"/>
            <w:vAlign w:val="center"/>
          </w:tcPr>
          <w:p w14:paraId="629913C4">
            <w:pPr>
              <w:rPr>
                <w:rFonts w:ascii="宋体" w:hAnsi="宋体" w:cs="宋体"/>
                <w:color w:val="auto"/>
                <w:sz w:val="20"/>
                <w:szCs w:val="20"/>
              </w:rPr>
            </w:pPr>
            <w:r>
              <w:rPr>
                <w:rFonts w:hint="eastAsia"/>
                <w:color w:val="auto"/>
                <w:sz w:val="20"/>
                <w:szCs w:val="20"/>
                <w:lang w:eastAsia="zh-CN"/>
              </w:rPr>
              <w:t>社会效益显著</w:t>
            </w:r>
          </w:p>
        </w:tc>
        <w:tc>
          <w:tcPr>
            <w:tcW w:w="1050" w:type="dxa"/>
            <w:tcBorders>
              <w:top w:val="nil"/>
              <w:left w:val="nil"/>
              <w:bottom w:val="single" w:color="auto" w:sz="4" w:space="0"/>
              <w:right w:val="single" w:color="auto" w:sz="4" w:space="0"/>
            </w:tcBorders>
            <w:noWrap w:val="0"/>
            <w:vAlign w:val="center"/>
          </w:tcPr>
          <w:p w14:paraId="44C0909E">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显著</w:t>
            </w:r>
          </w:p>
        </w:tc>
        <w:tc>
          <w:tcPr>
            <w:tcW w:w="731" w:type="dxa"/>
            <w:tcBorders>
              <w:top w:val="nil"/>
              <w:left w:val="nil"/>
              <w:bottom w:val="single" w:color="auto" w:sz="4" w:space="0"/>
              <w:right w:val="single" w:color="auto" w:sz="4" w:space="0"/>
            </w:tcBorders>
            <w:noWrap w:val="0"/>
            <w:vAlign w:val="center"/>
          </w:tcPr>
          <w:p w14:paraId="3ADF0E61">
            <w:pPr>
              <w:jc w:val="center"/>
              <w:rPr>
                <w:rFonts w:hint="eastAsia" w:ascii="宋体" w:hAnsi="宋体" w:eastAsia="宋体" w:cs="宋体"/>
                <w:color w:val="auto"/>
                <w:sz w:val="20"/>
                <w:szCs w:val="20"/>
                <w:lang w:eastAsia="zh-CN"/>
              </w:rPr>
            </w:pPr>
            <w:r>
              <w:rPr>
                <w:rFonts w:hint="eastAsia"/>
                <w:color w:val="auto"/>
                <w:sz w:val="20"/>
                <w:szCs w:val="20"/>
                <w:lang w:eastAsia="zh-CN"/>
              </w:rPr>
              <w:t>优</w:t>
            </w:r>
          </w:p>
        </w:tc>
        <w:tc>
          <w:tcPr>
            <w:tcW w:w="697" w:type="dxa"/>
            <w:tcBorders>
              <w:top w:val="nil"/>
              <w:left w:val="single" w:color="auto" w:sz="4" w:space="0"/>
              <w:bottom w:val="single" w:color="000000" w:sz="4" w:space="0"/>
              <w:right w:val="single" w:color="auto" w:sz="4" w:space="0"/>
            </w:tcBorders>
            <w:noWrap w:val="0"/>
            <w:vAlign w:val="center"/>
          </w:tcPr>
          <w:p w14:paraId="72AB9E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color w:val="auto"/>
                <w:sz w:val="20"/>
                <w:szCs w:val="20"/>
              </w:rPr>
              <w:t>社会效益指标</w:t>
            </w:r>
          </w:p>
        </w:tc>
        <w:tc>
          <w:tcPr>
            <w:tcW w:w="1852" w:type="dxa"/>
            <w:tcBorders>
              <w:top w:val="nil"/>
              <w:left w:val="nil"/>
              <w:bottom w:val="single" w:color="auto" w:sz="4" w:space="0"/>
              <w:right w:val="single" w:color="auto" w:sz="4" w:space="0"/>
            </w:tcBorders>
            <w:noWrap w:val="0"/>
            <w:vAlign w:val="center"/>
          </w:tcPr>
          <w:p w14:paraId="0D3BEBCC">
            <w:pPr>
              <w:rPr>
                <w:rFonts w:ascii="宋体" w:hAnsi="宋体" w:cs="宋体"/>
                <w:color w:val="auto"/>
                <w:sz w:val="20"/>
                <w:szCs w:val="20"/>
              </w:rPr>
            </w:pPr>
            <w:r>
              <w:rPr>
                <w:rFonts w:hint="eastAsia"/>
                <w:color w:val="auto"/>
                <w:sz w:val="20"/>
                <w:szCs w:val="20"/>
                <w:lang w:eastAsia="zh-CN"/>
              </w:rPr>
              <w:t>社会效益显著</w:t>
            </w:r>
          </w:p>
        </w:tc>
        <w:tc>
          <w:tcPr>
            <w:tcW w:w="705" w:type="dxa"/>
            <w:tcBorders>
              <w:top w:val="nil"/>
              <w:left w:val="nil"/>
              <w:bottom w:val="single" w:color="auto" w:sz="4" w:space="0"/>
              <w:right w:val="single" w:color="auto" w:sz="4" w:space="0"/>
            </w:tcBorders>
            <w:noWrap w:val="0"/>
            <w:vAlign w:val="center"/>
          </w:tcPr>
          <w:p w14:paraId="14908619">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显著</w:t>
            </w:r>
          </w:p>
        </w:tc>
        <w:tc>
          <w:tcPr>
            <w:tcW w:w="837" w:type="dxa"/>
            <w:tcBorders>
              <w:top w:val="nil"/>
              <w:left w:val="nil"/>
              <w:bottom w:val="single" w:color="auto" w:sz="4" w:space="0"/>
              <w:right w:val="single" w:color="auto" w:sz="4" w:space="0"/>
            </w:tcBorders>
            <w:noWrap w:val="0"/>
            <w:vAlign w:val="center"/>
          </w:tcPr>
          <w:p w14:paraId="39690D9E">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优</w:t>
            </w:r>
          </w:p>
        </w:tc>
      </w:tr>
      <w:tr w14:paraId="4974CAA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6E168D8">
            <w:pPr>
              <w:rPr>
                <w:rFonts w:ascii="宋体" w:hAnsi="宋体" w:cs="宋体"/>
                <w:color w:val="auto"/>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A2B2624">
            <w:pPr>
              <w:rPr>
                <w:rFonts w:ascii="宋体" w:hAnsi="宋体" w:cs="宋体"/>
                <w:color w:val="auto"/>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256BA3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color w:val="auto"/>
                <w:sz w:val="20"/>
                <w:szCs w:val="20"/>
              </w:rPr>
              <w:t>生态效益指标</w:t>
            </w:r>
          </w:p>
        </w:tc>
        <w:tc>
          <w:tcPr>
            <w:tcW w:w="1475" w:type="dxa"/>
            <w:tcBorders>
              <w:top w:val="nil"/>
              <w:left w:val="nil"/>
              <w:bottom w:val="single" w:color="auto" w:sz="4" w:space="0"/>
              <w:right w:val="single" w:color="auto" w:sz="4" w:space="0"/>
            </w:tcBorders>
            <w:noWrap w:val="0"/>
            <w:vAlign w:val="center"/>
          </w:tcPr>
          <w:p w14:paraId="3E7C7086">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生态效益长久</w:t>
            </w:r>
          </w:p>
        </w:tc>
        <w:tc>
          <w:tcPr>
            <w:tcW w:w="1050" w:type="dxa"/>
            <w:tcBorders>
              <w:top w:val="nil"/>
              <w:left w:val="nil"/>
              <w:bottom w:val="single" w:color="auto" w:sz="4" w:space="0"/>
              <w:right w:val="single" w:color="auto" w:sz="4" w:space="0"/>
            </w:tcBorders>
            <w:noWrap w:val="0"/>
            <w:vAlign w:val="center"/>
          </w:tcPr>
          <w:p w14:paraId="14950397">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731" w:type="dxa"/>
            <w:tcBorders>
              <w:top w:val="nil"/>
              <w:left w:val="nil"/>
              <w:bottom w:val="single" w:color="auto" w:sz="4" w:space="0"/>
              <w:right w:val="single" w:color="auto" w:sz="4" w:space="0"/>
            </w:tcBorders>
            <w:noWrap w:val="0"/>
            <w:vAlign w:val="center"/>
          </w:tcPr>
          <w:p w14:paraId="5C13E1C3">
            <w:pPr>
              <w:rPr>
                <w:rFonts w:hint="eastAsia" w:ascii="宋体" w:hAnsi="宋体" w:eastAsia="宋体" w:cs="宋体"/>
                <w:color w:val="auto"/>
                <w:sz w:val="20"/>
                <w:szCs w:val="20"/>
                <w:lang w:eastAsia="zh-CN"/>
              </w:rPr>
            </w:pPr>
            <w:r>
              <w:rPr>
                <w:rFonts w:hint="eastAsia"/>
                <w:color w:val="auto"/>
                <w:sz w:val="20"/>
                <w:szCs w:val="20"/>
              </w:rPr>
              <w:t>　</w:t>
            </w:r>
            <w:r>
              <w:rPr>
                <w:rFonts w:hint="eastAsia"/>
                <w:color w:val="auto"/>
                <w:sz w:val="20"/>
                <w:szCs w:val="20"/>
                <w:lang w:eastAsia="zh-CN"/>
              </w:rPr>
              <w:t>优</w:t>
            </w:r>
          </w:p>
        </w:tc>
        <w:tc>
          <w:tcPr>
            <w:tcW w:w="697" w:type="dxa"/>
            <w:tcBorders>
              <w:top w:val="nil"/>
              <w:left w:val="single" w:color="auto" w:sz="4" w:space="0"/>
              <w:bottom w:val="single" w:color="000000" w:sz="4" w:space="0"/>
              <w:right w:val="single" w:color="auto" w:sz="4" w:space="0"/>
            </w:tcBorders>
            <w:noWrap w:val="0"/>
            <w:vAlign w:val="center"/>
          </w:tcPr>
          <w:p w14:paraId="67CD9A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color w:val="auto"/>
                <w:sz w:val="20"/>
                <w:szCs w:val="20"/>
              </w:rPr>
              <w:t>生态效益指标</w:t>
            </w:r>
          </w:p>
        </w:tc>
        <w:tc>
          <w:tcPr>
            <w:tcW w:w="1852" w:type="dxa"/>
            <w:tcBorders>
              <w:top w:val="nil"/>
              <w:left w:val="nil"/>
              <w:bottom w:val="single" w:color="auto" w:sz="4" w:space="0"/>
              <w:right w:val="single" w:color="auto" w:sz="4" w:space="0"/>
            </w:tcBorders>
            <w:noWrap w:val="0"/>
            <w:vAlign w:val="center"/>
          </w:tcPr>
          <w:p w14:paraId="60832981">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生态效益长久</w:t>
            </w:r>
          </w:p>
        </w:tc>
        <w:tc>
          <w:tcPr>
            <w:tcW w:w="705" w:type="dxa"/>
            <w:tcBorders>
              <w:top w:val="nil"/>
              <w:left w:val="nil"/>
              <w:bottom w:val="single" w:color="auto" w:sz="4" w:space="0"/>
              <w:right w:val="single" w:color="auto" w:sz="4" w:space="0"/>
            </w:tcBorders>
            <w:noWrap w:val="0"/>
            <w:vAlign w:val="center"/>
          </w:tcPr>
          <w:p w14:paraId="5310D26C">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37" w:type="dxa"/>
            <w:tcBorders>
              <w:top w:val="nil"/>
              <w:left w:val="nil"/>
              <w:bottom w:val="single" w:color="auto" w:sz="4" w:space="0"/>
              <w:right w:val="single" w:color="auto" w:sz="4" w:space="0"/>
            </w:tcBorders>
            <w:noWrap w:val="0"/>
            <w:vAlign w:val="center"/>
          </w:tcPr>
          <w:p w14:paraId="584AB67C">
            <w:pPr>
              <w:rPr>
                <w:rFonts w:ascii="宋体" w:hAnsi="宋体" w:cs="宋体"/>
                <w:color w:val="auto"/>
                <w:sz w:val="20"/>
                <w:szCs w:val="20"/>
              </w:rPr>
            </w:pPr>
            <w:r>
              <w:rPr>
                <w:rFonts w:hint="eastAsia"/>
                <w:color w:val="auto"/>
                <w:sz w:val="20"/>
                <w:szCs w:val="20"/>
                <w:lang w:eastAsia="zh-CN"/>
              </w:rPr>
              <w:t>优</w:t>
            </w:r>
            <w:r>
              <w:rPr>
                <w:rFonts w:hint="eastAsia"/>
                <w:color w:val="auto"/>
                <w:sz w:val="20"/>
                <w:szCs w:val="20"/>
              </w:rPr>
              <w:t>　</w:t>
            </w:r>
          </w:p>
        </w:tc>
      </w:tr>
      <w:tr w14:paraId="23724E72">
        <w:tblPrEx>
          <w:tblCellMar>
            <w:top w:w="0" w:type="dxa"/>
            <w:left w:w="108" w:type="dxa"/>
            <w:bottom w:w="0" w:type="dxa"/>
            <w:right w:w="108" w:type="dxa"/>
          </w:tblCellMar>
        </w:tblPrEx>
        <w:trPr>
          <w:trHeight w:val="892"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0329CF6">
            <w:pPr>
              <w:rPr>
                <w:rFonts w:ascii="宋体" w:hAnsi="宋体" w:cs="宋体"/>
                <w:color w:val="auto"/>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B89FBE7">
            <w:pPr>
              <w:rPr>
                <w:rFonts w:ascii="宋体" w:hAnsi="宋体" w:cs="宋体"/>
                <w:color w:val="auto"/>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69CFC5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color w:val="auto"/>
                <w:sz w:val="20"/>
                <w:szCs w:val="20"/>
              </w:rPr>
              <w:t>可持续影响指标</w:t>
            </w:r>
          </w:p>
        </w:tc>
        <w:tc>
          <w:tcPr>
            <w:tcW w:w="1475" w:type="dxa"/>
            <w:tcBorders>
              <w:top w:val="nil"/>
              <w:left w:val="nil"/>
              <w:bottom w:val="single" w:color="auto" w:sz="4" w:space="0"/>
              <w:right w:val="single" w:color="auto" w:sz="4" w:space="0"/>
            </w:tcBorders>
            <w:noWrap w:val="0"/>
            <w:vAlign w:val="center"/>
          </w:tcPr>
          <w:p w14:paraId="02DBC87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效果显著</w:t>
            </w:r>
          </w:p>
        </w:tc>
        <w:tc>
          <w:tcPr>
            <w:tcW w:w="1050" w:type="dxa"/>
            <w:tcBorders>
              <w:top w:val="nil"/>
              <w:left w:val="nil"/>
              <w:bottom w:val="single" w:color="auto" w:sz="4" w:space="0"/>
              <w:right w:val="single" w:color="auto" w:sz="4" w:space="0"/>
            </w:tcBorders>
            <w:noWrap w:val="0"/>
            <w:vAlign w:val="center"/>
          </w:tcPr>
          <w:p w14:paraId="141AA6AD">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显著</w:t>
            </w:r>
          </w:p>
        </w:tc>
        <w:tc>
          <w:tcPr>
            <w:tcW w:w="731" w:type="dxa"/>
            <w:tcBorders>
              <w:top w:val="nil"/>
              <w:left w:val="nil"/>
              <w:bottom w:val="single" w:color="auto" w:sz="4" w:space="0"/>
              <w:right w:val="single" w:color="auto" w:sz="4" w:space="0"/>
            </w:tcBorders>
            <w:noWrap w:val="0"/>
            <w:vAlign w:val="center"/>
          </w:tcPr>
          <w:p w14:paraId="09C53BCF">
            <w:pPr>
              <w:rPr>
                <w:rFonts w:hint="eastAsia" w:ascii="宋体" w:hAnsi="宋体" w:eastAsia="宋体" w:cs="宋体"/>
                <w:color w:val="auto"/>
                <w:sz w:val="20"/>
                <w:szCs w:val="20"/>
                <w:lang w:eastAsia="zh-CN"/>
              </w:rPr>
            </w:pPr>
            <w:r>
              <w:rPr>
                <w:rFonts w:hint="eastAsia"/>
                <w:color w:val="auto"/>
                <w:sz w:val="20"/>
                <w:szCs w:val="20"/>
              </w:rPr>
              <w:t>　</w:t>
            </w:r>
            <w:r>
              <w:rPr>
                <w:rFonts w:hint="eastAsia"/>
                <w:color w:val="auto"/>
                <w:sz w:val="20"/>
                <w:szCs w:val="20"/>
                <w:lang w:eastAsia="zh-CN"/>
              </w:rPr>
              <w:t>优</w:t>
            </w:r>
          </w:p>
        </w:tc>
        <w:tc>
          <w:tcPr>
            <w:tcW w:w="697" w:type="dxa"/>
            <w:tcBorders>
              <w:top w:val="nil"/>
              <w:left w:val="single" w:color="auto" w:sz="4" w:space="0"/>
              <w:bottom w:val="single" w:color="000000" w:sz="4" w:space="0"/>
              <w:right w:val="single" w:color="auto" w:sz="4" w:space="0"/>
            </w:tcBorders>
            <w:noWrap w:val="0"/>
            <w:vAlign w:val="center"/>
          </w:tcPr>
          <w:p w14:paraId="241A65A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color w:val="auto"/>
                <w:sz w:val="20"/>
                <w:szCs w:val="20"/>
              </w:rPr>
              <w:t>可持续影响指标</w:t>
            </w:r>
          </w:p>
        </w:tc>
        <w:tc>
          <w:tcPr>
            <w:tcW w:w="1852" w:type="dxa"/>
            <w:tcBorders>
              <w:top w:val="nil"/>
              <w:left w:val="nil"/>
              <w:bottom w:val="single" w:color="auto" w:sz="4" w:space="0"/>
              <w:right w:val="single" w:color="auto" w:sz="4" w:space="0"/>
            </w:tcBorders>
            <w:noWrap w:val="0"/>
            <w:vAlign w:val="center"/>
          </w:tcPr>
          <w:p w14:paraId="08A9911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效果显著</w:t>
            </w:r>
          </w:p>
        </w:tc>
        <w:tc>
          <w:tcPr>
            <w:tcW w:w="705" w:type="dxa"/>
            <w:tcBorders>
              <w:top w:val="nil"/>
              <w:left w:val="nil"/>
              <w:bottom w:val="single" w:color="auto" w:sz="4" w:space="0"/>
              <w:right w:val="single" w:color="auto" w:sz="4" w:space="0"/>
            </w:tcBorders>
            <w:noWrap w:val="0"/>
            <w:vAlign w:val="center"/>
          </w:tcPr>
          <w:p w14:paraId="3DF73931">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显著</w:t>
            </w:r>
          </w:p>
        </w:tc>
        <w:tc>
          <w:tcPr>
            <w:tcW w:w="837" w:type="dxa"/>
            <w:tcBorders>
              <w:top w:val="nil"/>
              <w:left w:val="nil"/>
              <w:bottom w:val="single" w:color="auto" w:sz="4" w:space="0"/>
              <w:right w:val="single" w:color="auto" w:sz="4" w:space="0"/>
            </w:tcBorders>
            <w:noWrap w:val="0"/>
            <w:vAlign w:val="center"/>
          </w:tcPr>
          <w:p w14:paraId="6A2F421F">
            <w:pP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优</w:t>
            </w:r>
          </w:p>
        </w:tc>
      </w:tr>
      <w:tr w14:paraId="44EF4E67">
        <w:tblPrEx>
          <w:tblCellMar>
            <w:top w:w="0" w:type="dxa"/>
            <w:left w:w="108" w:type="dxa"/>
            <w:bottom w:w="0" w:type="dxa"/>
            <w:right w:w="108" w:type="dxa"/>
          </w:tblCellMar>
        </w:tblPrEx>
        <w:trPr>
          <w:trHeight w:val="127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7B5CC0E">
            <w:pPr>
              <w:rPr>
                <w:rFonts w:ascii="宋体" w:hAnsi="宋体" w:cs="宋体"/>
                <w:color w:val="auto"/>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30630201">
            <w:pPr>
              <w:jc w:val="center"/>
              <w:rPr>
                <w:rFonts w:ascii="宋体" w:hAnsi="宋体" w:cs="宋体"/>
                <w:color w:val="auto"/>
                <w:sz w:val="20"/>
                <w:szCs w:val="20"/>
              </w:rPr>
            </w:pPr>
            <w:r>
              <w:rPr>
                <w:rFonts w:hint="eastAsia"/>
                <w:color w:val="auto"/>
                <w:sz w:val="20"/>
                <w:szCs w:val="20"/>
              </w:rPr>
              <w:t>满意度指标</w:t>
            </w:r>
          </w:p>
        </w:tc>
        <w:tc>
          <w:tcPr>
            <w:tcW w:w="639" w:type="dxa"/>
            <w:tcBorders>
              <w:top w:val="nil"/>
              <w:left w:val="single" w:color="auto" w:sz="4" w:space="0"/>
              <w:bottom w:val="single" w:color="000000" w:sz="4" w:space="0"/>
              <w:right w:val="single" w:color="auto" w:sz="4" w:space="0"/>
            </w:tcBorders>
            <w:noWrap w:val="0"/>
            <w:vAlign w:val="center"/>
          </w:tcPr>
          <w:p w14:paraId="0F9A0D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color w:val="auto"/>
                <w:sz w:val="20"/>
                <w:szCs w:val="20"/>
              </w:rPr>
              <w:t>服务对象满意度指标</w:t>
            </w:r>
          </w:p>
        </w:tc>
        <w:tc>
          <w:tcPr>
            <w:tcW w:w="1475" w:type="dxa"/>
            <w:tcBorders>
              <w:top w:val="nil"/>
              <w:left w:val="nil"/>
              <w:bottom w:val="single" w:color="auto" w:sz="4" w:space="0"/>
              <w:right w:val="single" w:color="auto" w:sz="4" w:space="0"/>
            </w:tcBorders>
            <w:noWrap w:val="0"/>
            <w:vAlign w:val="center"/>
          </w:tcPr>
          <w:p w14:paraId="1F63F5F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0"/>
                <w:szCs w:val="20"/>
                <w:lang w:eastAsia="zh-CN"/>
              </w:rPr>
            </w:pPr>
            <w:r>
              <w:rPr>
                <w:rFonts w:hint="eastAsia"/>
                <w:color w:val="auto"/>
                <w:sz w:val="20"/>
                <w:szCs w:val="20"/>
                <w:lang w:eastAsia="zh-CN"/>
              </w:rPr>
              <w:t>职工满意度</w:t>
            </w:r>
          </w:p>
        </w:tc>
        <w:tc>
          <w:tcPr>
            <w:tcW w:w="1050" w:type="dxa"/>
            <w:tcBorders>
              <w:top w:val="nil"/>
              <w:left w:val="nil"/>
              <w:bottom w:val="single" w:color="auto" w:sz="4" w:space="0"/>
              <w:right w:val="single" w:color="auto" w:sz="4" w:space="0"/>
            </w:tcBorders>
            <w:noWrap w:val="0"/>
            <w:vAlign w:val="center"/>
          </w:tcPr>
          <w:p w14:paraId="3D1EB0F9">
            <w:pPr>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满意</w:t>
            </w:r>
          </w:p>
        </w:tc>
        <w:tc>
          <w:tcPr>
            <w:tcW w:w="731" w:type="dxa"/>
            <w:tcBorders>
              <w:top w:val="nil"/>
              <w:left w:val="nil"/>
              <w:bottom w:val="single" w:color="auto" w:sz="4" w:space="0"/>
              <w:right w:val="single" w:color="auto" w:sz="4" w:space="0"/>
            </w:tcBorders>
            <w:noWrap w:val="0"/>
            <w:vAlign w:val="center"/>
          </w:tcPr>
          <w:p w14:paraId="47DDFE82">
            <w:pPr>
              <w:rPr>
                <w:rFonts w:ascii="宋体" w:hAnsi="宋体" w:cs="宋体"/>
                <w:color w:val="auto"/>
                <w:sz w:val="20"/>
                <w:szCs w:val="20"/>
              </w:rPr>
            </w:pPr>
            <w:r>
              <w:rPr>
                <w:rFonts w:hint="eastAsia"/>
                <w:color w:val="auto"/>
                <w:sz w:val="20"/>
                <w:szCs w:val="20"/>
              </w:rPr>
              <w:t>　</w:t>
            </w:r>
            <w:r>
              <w:rPr>
                <w:rFonts w:hint="eastAsia"/>
                <w:color w:val="auto"/>
                <w:sz w:val="20"/>
                <w:szCs w:val="20"/>
                <w:lang w:eastAsia="zh-CN"/>
              </w:rPr>
              <w:t>优</w:t>
            </w:r>
          </w:p>
        </w:tc>
        <w:tc>
          <w:tcPr>
            <w:tcW w:w="697" w:type="dxa"/>
            <w:tcBorders>
              <w:top w:val="nil"/>
              <w:left w:val="single" w:color="auto" w:sz="4" w:space="0"/>
              <w:bottom w:val="single" w:color="000000" w:sz="4" w:space="0"/>
              <w:right w:val="single" w:color="auto" w:sz="4" w:space="0"/>
            </w:tcBorders>
            <w:noWrap w:val="0"/>
            <w:vAlign w:val="center"/>
          </w:tcPr>
          <w:p w14:paraId="37C5D68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color w:val="auto"/>
                <w:sz w:val="20"/>
                <w:szCs w:val="20"/>
              </w:rPr>
            </w:pPr>
            <w:r>
              <w:rPr>
                <w:rFonts w:hint="eastAsia"/>
                <w:color w:val="auto"/>
                <w:sz w:val="20"/>
                <w:szCs w:val="20"/>
              </w:rPr>
              <w:t>服务对象满意</w:t>
            </w:r>
          </w:p>
          <w:p w14:paraId="13DF42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color w:val="auto"/>
                <w:sz w:val="20"/>
                <w:szCs w:val="20"/>
              </w:rPr>
            </w:pPr>
            <w:r>
              <w:rPr>
                <w:rFonts w:hint="eastAsia"/>
                <w:color w:val="auto"/>
                <w:sz w:val="20"/>
                <w:szCs w:val="20"/>
              </w:rPr>
              <w:t>度指标</w:t>
            </w:r>
          </w:p>
        </w:tc>
        <w:tc>
          <w:tcPr>
            <w:tcW w:w="1852" w:type="dxa"/>
            <w:tcBorders>
              <w:top w:val="nil"/>
              <w:left w:val="nil"/>
              <w:bottom w:val="single" w:color="auto" w:sz="4" w:space="0"/>
              <w:right w:val="single" w:color="auto" w:sz="4" w:space="0"/>
            </w:tcBorders>
            <w:noWrap w:val="0"/>
            <w:vAlign w:val="center"/>
          </w:tcPr>
          <w:p w14:paraId="73CA048F">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color w:val="auto"/>
                <w:sz w:val="20"/>
                <w:szCs w:val="20"/>
              </w:rPr>
            </w:pPr>
            <w:r>
              <w:rPr>
                <w:rFonts w:hint="eastAsia"/>
                <w:color w:val="auto"/>
                <w:sz w:val="20"/>
                <w:szCs w:val="20"/>
                <w:lang w:eastAsia="zh-CN"/>
              </w:rPr>
              <w:t>职工满意度</w:t>
            </w:r>
          </w:p>
        </w:tc>
        <w:tc>
          <w:tcPr>
            <w:tcW w:w="705" w:type="dxa"/>
            <w:tcBorders>
              <w:top w:val="nil"/>
              <w:left w:val="nil"/>
              <w:bottom w:val="single" w:color="auto" w:sz="4" w:space="0"/>
              <w:right w:val="single" w:color="auto" w:sz="4" w:space="0"/>
            </w:tcBorders>
            <w:noWrap w:val="0"/>
            <w:vAlign w:val="center"/>
          </w:tcPr>
          <w:p w14:paraId="578A579C">
            <w:pPr>
              <w:jc w:val="center"/>
              <w:rPr>
                <w:rFonts w:ascii="宋体" w:hAnsi="宋体" w:cs="宋体"/>
                <w:color w:val="auto"/>
                <w:sz w:val="20"/>
                <w:szCs w:val="20"/>
              </w:rPr>
            </w:pPr>
            <w:r>
              <w:rPr>
                <w:rFonts w:hint="eastAsia"/>
                <w:color w:val="auto"/>
                <w:sz w:val="20"/>
                <w:szCs w:val="20"/>
                <w:lang w:eastAsia="zh-CN"/>
              </w:rPr>
              <w:t>满意</w:t>
            </w:r>
            <w:r>
              <w:rPr>
                <w:rFonts w:hint="eastAsia"/>
                <w:color w:val="auto"/>
                <w:sz w:val="20"/>
                <w:szCs w:val="20"/>
              </w:rPr>
              <w:t>　</w:t>
            </w:r>
          </w:p>
        </w:tc>
        <w:tc>
          <w:tcPr>
            <w:tcW w:w="837" w:type="dxa"/>
            <w:tcBorders>
              <w:top w:val="nil"/>
              <w:left w:val="nil"/>
              <w:bottom w:val="single" w:color="auto" w:sz="4" w:space="0"/>
              <w:right w:val="single" w:color="auto" w:sz="4" w:space="0"/>
            </w:tcBorders>
            <w:noWrap w:val="0"/>
            <w:vAlign w:val="center"/>
          </w:tcPr>
          <w:p w14:paraId="29834DC9">
            <w:pPr>
              <w:rPr>
                <w:rFonts w:ascii="宋体" w:hAnsi="宋体" w:cs="宋体"/>
                <w:color w:val="auto"/>
                <w:sz w:val="20"/>
                <w:szCs w:val="20"/>
              </w:rPr>
            </w:pPr>
            <w:r>
              <w:rPr>
                <w:rFonts w:hint="eastAsia"/>
                <w:color w:val="auto"/>
                <w:sz w:val="20"/>
                <w:szCs w:val="20"/>
              </w:rPr>
              <w:t>　</w:t>
            </w:r>
            <w:r>
              <w:rPr>
                <w:rFonts w:hint="eastAsia"/>
                <w:color w:val="auto"/>
                <w:sz w:val="20"/>
                <w:szCs w:val="20"/>
                <w:lang w:eastAsia="zh-CN"/>
              </w:rPr>
              <w:t>优</w:t>
            </w:r>
          </w:p>
        </w:tc>
      </w:tr>
    </w:tbl>
    <w:p w14:paraId="11FB694A">
      <w:pPr>
        <w:pStyle w:val="2"/>
        <w:rPr>
          <w:rFonts w:hint="eastAsia" w:ascii="仿宋_GB2312" w:hAnsi="楷体" w:eastAsia="仿宋_GB2312"/>
          <w:color w:val="auto"/>
          <w:sz w:val="32"/>
          <w:szCs w:val="32"/>
          <w:lang w:eastAsia="zh-CN"/>
        </w:rPr>
      </w:pPr>
    </w:p>
    <w:p w14:paraId="0E67A650">
      <w:pPr>
        <w:pStyle w:val="2"/>
        <w:rPr>
          <w:rFonts w:hint="eastAsia" w:ascii="仿宋_GB2312" w:hAnsi="楷体" w:eastAsia="仿宋_GB2312"/>
          <w:color w:val="auto"/>
          <w:sz w:val="32"/>
          <w:szCs w:val="32"/>
          <w:lang w:eastAsia="zh-CN"/>
        </w:rPr>
      </w:pPr>
    </w:p>
    <w:p w14:paraId="1D6E939B">
      <w:pPr>
        <w:adjustRightInd w:val="0"/>
        <w:snapToGrid w:val="0"/>
        <w:spacing w:line="58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（二）机关运行经费。</w:t>
      </w:r>
    </w:p>
    <w:p w14:paraId="2753E638">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为非参照公务员法管理的事业单位，按照部门预算机关运行经费口径，2023年无机关运行经费财政拨款预算。</w:t>
      </w:r>
    </w:p>
    <w:p w14:paraId="19DFC866">
      <w:pPr>
        <w:adjustRightInd w:val="0"/>
        <w:snapToGrid w:val="0"/>
        <w:spacing w:line="58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（三）政府采购情况。</w:t>
      </w:r>
    </w:p>
    <w:p w14:paraId="260CE07C">
      <w:pPr>
        <w:ind w:firstLine="640"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2023年</w:t>
      </w:r>
      <w:r>
        <w:rPr>
          <w:rFonts w:hint="eastAsia" w:ascii="TimesNewRoman" w:hAnsi="TimesNewRoman" w:eastAsia="仿宋_GB2312" w:cs="TimesNewRoman"/>
          <w:color w:val="auto"/>
          <w:kern w:val="0"/>
          <w:sz w:val="32"/>
          <w:szCs w:val="32"/>
          <w:lang w:eastAsia="zh-CN"/>
        </w:rPr>
        <w:t>无</w:t>
      </w:r>
      <w:r>
        <w:rPr>
          <w:rFonts w:hint="eastAsia" w:ascii="TimesNewRoman" w:hAnsi="TimesNewRoman" w:eastAsia="仿宋_GB2312" w:cs="TimesNewRoman"/>
          <w:color w:val="auto"/>
          <w:kern w:val="0"/>
          <w:sz w:val="32"/>
          <w:szCs w:val="32"/>
        </w:rPr>
        <w:t>政府采购预算</w:t>
      </w:r>
      <w:r>
        <w:rPr>
          <w:rFonts w:hint="eastAsia" w:ascii="TimesNewRoman" w:hAnsi="TimesNewRoman" w:eastAsia="仿宋_GB2312" w:cs="TimesNewRoman"/>
          <w:color w:val="auto"/>
          <w:kern w:val="0"/>
          <w:sz w:val="32"/>
          <w:szCs w:val="32"/>
          <w:lang w:eastAsia="zh-CN"/>
        </w:rPr>
        <w:t>。</w:t>
      </w:r>
    </w:p>
    <w:p w14:paraId="50BDEBEC">
      <w:pPr>
        <w:adjustRightInd w:val="0"/>
        <w:snapToGrid w:val="0"/>
        <w:spacing w:line="58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（四）国有资产占有使用情况。</w:t>
      </w:r>
    </w:p>
    <w:p w14:paraId="619B31A4">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截至2022年12月31日，淮北市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rPr>
        <w:t>共有车辆</w:t>
      </w:r>
      <w:r>
        <w:rPr>
          <w:rFonts w:hint="eastAsia" w:ascii="TimesNewRoman" w:hAnsi="TimesNewRoman" w:eastAsia="仿宋_GB2312" w:cs="TimesNewRoman"/>
          <w:color w:val="auto"/>
          <w:kern w:val="0"/>
          <w:sz w:val="32"/>
          <w:szCs w:val="32"/>
          <w:lang w:val="en-US" w:eastAsia="zh-CN"/>
        </w:rPr>
        <w:t>1</w:t>
      </w:r>
      <w:r>
        <w:rPr>
          <w:rFonts w:hint="eastAsia" w:ascii="TimesNewRoman" w:hAnsi="TimesNewRoman" w:eastAsia="仿宋_GB2312" w:cs="TimesNewRoman"/>
          <w:color w:val="auto"/>
          <w:kern w:val="0"/>
          <w:sz w:val="32"/>
          <w:szCs w:val="32"/>
        </w:rPr>
        <w:t>辆，其中：其他用车</w:t>
      </w:r>
      <w:r>
        <w:rPr>
          <w:rFonts w:hint="eastAsia" w:ascii="TimesNewRoman" w:hAnsi="TimesNewRoman" w:eastAsia="仿宋_GB2312" w:cs="TimesNewRoman"/>
          <w:color w:val="auto"/>
          <w:kern w:val="0"/>
          <w:sz w:val="32"/>
          <w:szCs w:val="32"/>
          <w:lang w:val="en-US" w:eastAsia="zh-CN"/>
        </w:rPr>
        <w:t>1</w:t>
      </w:r>
      <w:r>
        <w:rPr>
          <w:rFonts w:hint="eastAsia" w:ascii="TimesNewRoman" w:hAnsi="TimesNewRoman" w:eastAsia="仿宋_GB2312" w:cs="TimesNewRoman"/>
          <w:color w:val="auto"/>
          <w:kern w:val="0"/>
          <w:sz w:val="32"/>
          <w:szCs w:val="32"/>
        </w:rPr>
        <w:t>辆。单价50万元以上的通用设备</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台（套），单价100万元以上的专用设备</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台（套）。</w:t>
      </w:r>
    </w:p>
    <w:p w14:paraId="44F5F14A">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2023年部门（单位）预算安排购置公务用车</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辆，安排购置单价50万元以上的通用设备</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台（套），购置费</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万元；安排购置单价100万元以上专用设备</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台（套），购置费</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p>
    <w:p w14:paraId="4B68A453">
      <w:pPr>
        <w:adjustRightInd w:val="0"/>
        <w:snapToGrid w:val="0"/>
        <w:spacing w:line="58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（五）绩效目标设置情况。</w:t>
      </w:r>
    </w:p>
    <w:p w14:paraId="232F986D">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2023年，淮北市</w:t>
      </w:r>
      <w:r>
        <w:rPr>
          <w:rFonts w:hint="eastAsia" w:ascii="TimesNewRoman" w:hAnsi="TimesNewRoman" w:eastAsia="仿宋_GB2312" w:cs="TimesNewRoman"/>
          <w:color w:val="auto"/>
          <w:kern w:val="0"/>
          <w:sz w:val="32"/>
          <w:szCs w:val="32"/>
          <w:lang w:eastAsia="zh-CN"/>
        </w:rPr>
        <w:t>水利工程质量监督站</w:t>
      </w:r>
      <w:r>
        <w:rPr>
          <w:rFonts w:hint="eastAsia" w:ascii="TimesNewRoman" w:hAnsi="TimesNewRoman" w:eastAsia="仿宋_GB2312" w:cs="TimesNewRoman"/>
          <w:color w:val="auto"/>
          <w:kern w:val="0"/>
          <w:sz w:val="32"/>
          <w:szCs w:val="32"/>
          <w:lang w:val="en-US" w:eastAsia="zh-CN"/>
        </w:rPr>
        <w:t>2</w:t>
      </w:r>
      <w:r>
        <w:rPr>
          <w:rFonts w:hint="eastAsia" w:ascii="TimesNewRoman" w:hAnsi="TimesNewRoman" w:eastAsia="仿宋_GB2312" w:cs="TimesNewRoman"/>
          <w:color w:val="auto"/>
          <w:kern w:val="0"/>
          <w:sz w:val="32"/>
          <w:szCs w:val="32"/>
        </w:rPr>
        <w:t>个项目实行了绩效目标管理，涉及一般公共预算当年财政拨款</w:t>
      </w:r>
      <w:r>
        <w:rPr>
          <w:rFonts w:hint="eastAsia" w:ascii="TimesNewRoman" w:hAnsi="TimesNewRoman" w:eastAsia="仿宋_GB2312" w:cs="TimesNewRoman"/>
          <w:color w:val="auto"/>
          <w:kern w:val="0"/>
          <w:sz w:val="32"/>
          <w:szCs w:val="32"/>
          <w:lang w:val="en-US" w:eastAsia="zh-CN"/>
        </w:rPr>
        <w:t>38</w:t>
      </w:r>
      <w:bookmarkStart w:id="0" w:name="_GoBack"/>
      <w:bookmarkEnd w:id="0"/>
      <w:r>
        <w:rPr>
          <w:rFonts w:hint="eastAsia" w:ascii="TimesNewRoman" w:hAnsi="TimesNewRoman" w:eastAsia="仿宋_GB2312" w:cs="TimesNewRoman"/>
          <w:color w:val="auto"/>
          <w:kern w:val="0"/>
          <w:sz w:val="32"/>
          <w:szCs w:val="32"/>
        </w:rPr>
        <w:t>万元、政府性基金预算当年财政拨款</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万元、财政专户管理资金当年安排</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p>
    <w:p w14:paraId="56080AAB">
      <w:pPr>
        <w:rPr>
          <w:color w:val="auto"/>
        </w:rPr>
      </w:pPr>
    </w:p>
    <w:p w14:paraId="06F21A4B">
      <w:pPr>
        <w:pStyle w:val="6"/>
        <w:adjustRightInd w:val="0"/>
        <w:snapToGrid w:val="0"/>
        <w:spacing w:line="560" w:lineRule="exact"/>
        <w:jc w:val="center"/>
        <w:rPr>
          <w:rFonts w:hint="eastAsia" w:ascii="TimesNewRoman" w:hAnsi="TimesNewRoman" w:eastAsia="黑体" w:cs="TimesNewRoman"/>
          <w:bCs/>
          <w:color w:val="auto"/>
          <w:sz w:val="36"/>
          <w:szCs w:val="36"/>
        </w:rPr>
      </w:pPr>
    </w:p>
    <w:p w14:paraId="7419F1FD">
      <w:pPr>
        <w:pStyle w:val="6"/>
        <w:adjustRightInd w:val="0"/>
        <w:snapToGrid w:val="0"/>
        <w:spacing w:line="560" w:lineRule="exact"/>
        <w:jc w:val="center"/>
        <w:rPr>
          <w:rFonts w:hint="eastAsia" w:ascii="TimesNewRoman" w:hAnsi="TimesNewRoman" w:eastAsia="黑体" w:cs="TimesNewRoman"/>
          <w:bCs/>
          <w:color w:val="auto"/>
          <w:sz w:val="36"/>
          <w:szCs w:val="36"/>
        </w:rPr>
      </w:pPr>
      <w:r>
        <w:rPr>
          <w:rFonts w:hint="eastAsia" w:ascii="TimesNewRoman" w:hAnsi="TimesNewRoman" w:eastAsia="黑体" w:cs="TimesNewRoman"/>
          <w:bCs/>
          <w:color w:val="auto"/>
          <w:sz w:val="36"/>
          <w:szCs w:val="36"/>
        </w:rPr>
        <w:t>第四部分 名词解释</w:t>
      </w:r>
    </w:p>
    <w:p w14:paraId="0AD9FDD2">
      <w:pPr>
        <w:rPr>
          <w:color w:val="auto"/>
        </w:rPr>
      </w:pPr>
    </w:p>
    <w:p w14:paraId="17959AC9">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一、财政拨款收入：</w:t>
      </w:r>
      <w:r>
        <w:rPr>
          <w:rFonts w:hint="eastAsia" w:ascii="TimesNewRoman" w:hAnsi="TimesNewRoman" w:eastAsia="仿宋_GB2312" w:cs="TimesNewRoman"/>
          <w:color w:val="auto"/>
          <w:sz w:val="32"/>
          <w:szCs w:val="32"/>
        </w:rPr>
        <w:t>指部门或单位从同级财政部门取得的财政预算资金。</w:t>
      </w:r>
    </w:p>
    <w:p w14:paraId="351636EF">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二、事业收入：</w:t>
      </w:r>
      <w:r>
        <w:rPr>
          <w:rFonts w:hint="eastAsia" w:ascii="TimesNewRoman" w:hAnsi="TimesNewRoman" w:eastAsia="仿宋_GB2312" w:cs="TimesNewRoman"/>
          <w:color w:val="auto"/>
          <w:sz w:val="32"/>
          <w:szCs w:val="32"/>
        </w:rPr>
        <w:t>指事业单位开展专业业务活动及辅助活动所取得的收入。</w:t>
      </w:r>
    </w:p>
    <w:p w14:paraId="4DA3638F">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三、财政专户管理资金：</w:t>
      </w:r>
      <w:r>
        <w:rPr>
          <w:rFonts w:hint="eastAsia" w:ascii="TimesNewRoman" w:hAnsi="TimesNewRoman" w:eastAsia="仿宋_GB2312" w:cs="TimesNewRoman"/>
          <w:color w:val="auto"/>
          <w:sz w:val="32"/>
          <w:szCs w:val="32"/>
        </w:rPr>
        <w:t>指按照非税收入管理相关规定，纳入财政专户管理的教育收费等。</w:t>
      </w:r>
    </w:p>
    <w:p w14:paraId="52A4B36D">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四、事业单位经营收入：</w:t>
      </w:r>
      <w:r>
        <w:rPr>
          <w:rFonts w:hint="eastAsia" w:ascii="TimesNewRoman" w:hAnsi="TimesNewRoman" w:eastAsia="仿宋_GB2312" w:cs="TimesNewRoman"/>
          <w:color w:val="auto"/>
          <w:sz w:val="32"/>
          <w:szCs w:val="32"/>
        </w:rPr>
        <w:t>指事业单位在专业业务活动及其辅助活动之外开展非独立核算经营活动取得的收入。</w:t>
      </w:r>
    </w:p>
    <w:p w14:paraId="368E0A09">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五、附属单位上缴收入：</w:t>
      </w:r>
      <w:r>
        <w:rPr>
          <w:rFonts w:hint="eastAsia" w:ascii="TimesNewRoman" w:hAnsi="TimesNewRoman" w:eastAsia="仿宋_GB2312" w:cs="TimesNewRoman"/>
          <w:color w:val="auto"/>
          <w:sz w:val="32"/>
          <w:szCs w:val="32"/>
        </w:rPr>
        <w:t>本单位所属下级单位上缴给本单位的全部收入。</w:t>
      </w:r>
    </w:p>
    <w:p w14:paraId="78079693">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六、上年结转：</w:t>
      </w:r>
      <w:r>
        <w:rPr>
          <w:rFonts w:hint="eastAsia" w:ascii="TimesNewRoman" w:hAnsi="TimesNewRoman" w:eastAsia="仿宋_GB2312" w:cs="TimesNewRoman"/>
          <w:color w:val="auto"/>
          <w:sz w:val="32"/>
          <w:szCs w:val="32"/>
        </w:rPr>
        <w:t>指以前年度安排、结转到本年仍按原用途继续使用的资金。</w:t>
      </w:r>
    </w:p>
    <w:p w14:paraId="4E1B5216">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七、结转下年：</w:t>
      </w:r>
      <w:r>
        <w:rPr>
          <w:rFonts w:hint="eastAsia" w:ascii="TimesNewRoman" w:hAnsi="TimesNewRoman" w:eastAsia="仿宋_GB2312" w:cs="TimesNewRoman"/>
          <w:color w:val="auto"/>
          <w:sz w:val="32"/>
          <w:szCs w:val="32"/>
        </w:rPr>
        <w:t>指以前年度预算安排、因客观条件发生变化无法按原计划实施，需以后年度按原用途继续使用的资金。</w:t>
      </w:r>
    </w:p>
    <w:p w14:paraId="1CC77FA4">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八、基本支出：</w:t>
      </w:r>
      <w:r>
        <w:rPr>
          <w:rFonts w:hint="eastAsia" w:ascii="TimesNewRoman" w:hAnsi="TimesNewRoman" w:eastAsia="仿宋_GB2312" w:cs="TimesNewRoman"/>
          <w:color w:val="auto"/>
          <w:sz w:val="32"/>
          <w:szCs w:val="32"/>
        </w:rPr>
        <w:t>指为保障机构正常运转、完成日常工作任务而发生的人员支出和公用支出。</w:t>
      </w:r>
    </w:p>
    <w:p w14:paraId="0CD143A0">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九、项目支出：</w:t>
      </w:r>
      <w:r>
        <w:rPr>
          <w:rFonts w:hint="eastAsia" w:ascii="TimesNewRoman" w:hAnsi="TimesNewRoman" w:eastAsia="仿宋_GB2312" w:cs="TimesNewRoman"/>
          <w:color w:val="auto"/>
          <w:sz w:val="32"/>
          <w:szCs w:val="32"/>
        </w:rPr>
        <w:t>指在除基本支出之外的支出，主要用于完成特定的工作任务和事业发展目标。</w:t>
      </w:r>
    </w:p>
    <w:p w14:paraId="54481E43">
      <w:pPr>
        <w:pStyle w:val="6"/>
        <w:adjustRightInd w:val="0"/>
        <w:snapToGrid w:val="0"/>
        <w:spacing w:line="560" w:lineRule="exact"/>
        <w:ind w:firstLine="630"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b/>
          <w:color w:val="auto"/>
          <w:sz w:val="32"/>
          <w:szCs w:val="32"/>
        </w:rPr>
        <w:t xml:space="preserve">十、机关运行经费: </w:t>
      </w:r>
      <w:r>
        <w:rPr>
          <w:rFonts w:hint="eastAsia" w:ascii="TimesNewRoman" w:hAnsi="TimesNewRoman" w:eastAsia="仿宋_GB2312" w:cs="TimesNewRoman"/>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E78BE4D">
      <w:pPr>
        <w:rPr>
          <w:color w:val="auto"/>
        </w:rPr>
      </w:pPr>
    </w:p>
    <w:p w14:paraId="321D26C0">
      <w:pPr>
        <w:rPr>
          <w:color w:val="auto"/>
        </w:rPr>
      </w:pPr>
    </w:p>
    <w:p w14:paraId="1CF49B4E">
      <w:pPr>
        <w:rPr>
          <w:color w:val="auto"/>
        </w:rPr>
      </w:pPr>
    </w:p>
    <w:p w14:paraId="6BA5755B">
      <w:pPr>
        <w:rPr>
          <w:color w:val="auto"/>
        </w:rPr>
      </w:pPr>
    </w:p>
    <w:p w14:paraId="754FAC3A">
      <w:pPr>
        <w:rPr>
          <w:color w:val="auto"/>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5BFBE"/>
    <w:multiLevelType w:val="singleLevel"/>
    <w:tmpl w:val="0D15BF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mYTEyYmVmZDg1MWQxNjAxYjBjYTUzNjU4M2Y1YTQifQ=="/>
  </w:docVars>
  <w:rsids>
    <w:rsidRoot w:val="00E907C4"/>
    <w:rsid w:val="0024170E"/>
    <w:rsid w:val="0057562B"/>
    <w:rsid w:val="006546AF"/>
    <w:rsid w:val="008F6D1A"/>
    <w:rsid w:val="009A3CA3"/>
    <w:rsid w:val="00AE3242"/>
    <w:rsid w:val="00E907C4"/>
    <w:rsid w:val="00EC7755"/>
    <w:rsid w:val="03A04DF9"/>
    <w:rsid w:val="04384D6D"/>
    <w:rsid w:val="066D4C5A"/>
    <w:rsid w:val="06CC26B1"/>
    <w:rsid w:val="07224F1B"/>
    <w:rsid w:val="0A0069D1"/>
    <w:rsid w:val="0A1F6408"/>
    <w:rsid w:val="0D293C77"/>
    <w:rsid w:val="0D987233"/>
    <w:rsid w:val="13463B67"/>
    <w:rsid w:val="162A3DCF"/>
    <w:rsid w:val="197D549E"/>
    <w:rsid w:val="1A842C1D"/>
    <w:rsid w:val="1EE218FE"/>
    <w:rsid w:val="200A3A07"/>
    <w:rsid w:val="20357A3D"/>
    <w:rsid w:val="22745AB0"/>
    <w:rsid w:val="22CA2148"/>
    <w:rsid w:val="250F7712"/>
    <w:rsid w:val="256F24F3"/>
    <w:rsid w:val="2D800366"/>
    <w:rsid w:val="2EA00990"/>
    <w:rsid w:val="313B5AF2"/>
    <w:rsid w:val="32E30817"/>
    <w:rsid w:val="36380975"/>
    <w:rsid w:val="3AD35A60"/>
    <w:rsid w:val="3CBF534E"/>
    <w:rsid w:val="3E52323F"/>
    <w:rsid w:val="3F1D4969"/>
    <w:rsid w:val="400E49F6"/>
    <w:rsid w:val="40765263"/>
    <w:rsid w:val="415723CD"/>
    <w:rsid w:val="41A35612"/>
    <w:rsid w:val="437A3949"/>
    <w:rsid w:val="45F93CA1"/>
    <w:rsid w:val="48E21267"/>
    <w:rsid w:val="49157731"/>
    <w:rsid w:val="495917B8"/>
    <w:rsid w:val="4BA50BA0"/>
    <w:rsid w:val="5130590B"/>
    <w:rsid w:val="52BB0803"/>
    <w:rsid w:val="53DF552A"/>
    <w:rsid w:val="5431680B"/>
    <w:rsid w:val="595E0569"/>
    <w:rsid w:val="5AA20AA6"/>
    <w:rsid w:val="5B2E0ED5"/>
    <w:rsid w:val="5CF15978"/>
    <w:rsid w:val="5DD4323B"/>
    <w:rsid w:val="64065ABD"/>
    <w:rsid w:val="65994574"/>
    <w:rsid w:val="667D3BE4"/>
    <w:rsid w:val="66F07F4A"/>
    <w:rsid w:val="67354CC3"/>
    <w:rsid w:val="67510D0C"/>
    <w:rsid w:val="69633697"/>
    <w:rsid w:val="6B6B4A0B"/>
    <w:rsid w:val="6BCB7D5E"/>
    <w:rsid w:val="6E666C75"/>
    <w:rsid w:val="6E934195"/>
    <w:rsid w:val="70BC2898"/>
    <w:rsid w:val="72F17E1E"/>
    <w:rsid w:val="73743816"/>
    <w:rsid w:val="75A55B40"/>
    <w:rsid w:val="769A7954"/>
    <w:rsid w:val="76E34979"/>
    <w:rsid w:val="771237FA"/>
    <w:rsid w:val="781310F2"/>
    <w:rsid w:val="79A67472"/>
    <w:rsid w:val="7A053867"/>
    <w:rsid w:val="7A0C7927"/>
    <w:rsid w:val="7A6C0F6B"/>
    <w:rsid w:val="7B8A1FFF"/>
    <w:rsid w:val="7BF74E1F"/>
    <w:rsid w:val="7EF46ED2"/>
    <w:rsid w:val="7F9B1FCD"/>
    <w:rsid w:val="7FAE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left="266" w:leftChars="266" w:firstLine="420" w:firstLineChars="150"/>
    </w:pPr>
    <w:rPr>
      <w:rFonts w:ascii="宋体" w:hAnsi="宋体"/>
      <w:sz w:val="28"/>
    </w:rPr>
  </w:style>
  <w:style w:type="paragraph" w:styleId="3">
    <w:name w:val="Body Text"/>
    <w:basedOn w:val="1"/>
    <w:unhideWhenUsed/>
    <w:qFormat/>
    <w:uiPriority w:val="99"/>
    <w:rPr>
      <w:rFonts w:hint="eastAsia"/>
      <w:sz w:val="21"/>
      <w:szCs w:val="24"/>
    </w:rPr>
  </w:style>
  <w:style w:type="paragraph" w:styleId="4">
    <w:name w:val="Body Text Indent"/>
    <w:basedOn w:val="1"/>
    <w:next w:val="5"/>
    <w:qFormat/>
    <w:uiPriority w:val="0"/>
    <w:pPr>
      <w:ind w:left="3419" w:hanging="3419" w:hangingChars="1221"/>
    </w:pPr>
    <w:rPr>
      <w:sz w:val="28"/>
      <w:szCs w:val="20"/>
    </w:rPr>
  </w:style>
  <w:style w:type="paragraph" w:styleId="5">
    <w:name w:val="envelope return"/>
    <w:basedOn w:val="1"/>
    <w:qFormat/>
    <w:uiPriority w:val="0"/>
    <w:pPr>
      <w:snapToGrid w:val="0"/>
    </w:pPr>
    <w:rPr>
      <w:rFonts w:ascii="Arial" w:hAnsi="Arial" w:cs="Arial"/>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4"/>
    <w:next w:val="3"/>
    <w:qFormat/>
    <w:uiPriority w:val="0"/>
    <w:pPr>
      <w:spacing w:after="120"/>
      <w:ind w:left="420" w:leftChars="200" w:firstLine="420" w:firstLineChars="200"/>
    </w:pPr>
    <w:rPr>
      <w:sz w:val="21"/>
      <w:szCs w:val="24"/>
    </w:rPr>
  </w:style>
  <w:style w:type="character" w:customStyle="1" w:styleId="10">
    <w:name w:val="NormalCharacter"/>
    <w:semiHidden/>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6730</Words>
  <Characters>7438</Characters>
  <Lines>46</Lines>
  <Paragraphs>13</Paragraphs>
  <TotalTime>16</TotalTime>
  <ScaleCrop>false</ScaleCrop>
  <LinksUpToDate>false</LinksUpToDate>
  <CharactersWithSpaces>7535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杨磊</cp:lastModifiedBy>
  <dcterms:modified xsi:type="dcterms:W3CDTF">2024-09-26T07:39:29Z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B2D4ED48C1DA48B8A9FADEAB9B6EEC47</vt:lpwstr>
  </property>
</Properties>
</file>