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rPr>
      </w:pPr>
      <w:r>
        <w:rPr>
          <w:rFonts w:hint="eastAsia" w:ascii="宋体" w:hAnsi="宋体"/>
          <w:b/>
          <w:color w:val="auto"/>
          <w:sz w:val="36"/>
          <w:szCs w:val="36"/>
          <w:lang w:val="en-US" w:eastAsia="zh-CN"/>
        </w:rPr>
        <w:t>淮北市水务局</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adjustRightInd w:val="0"/>
        <w:snapToGrid w:val="0"/>
        <w:spacing w:line="360" w:lineRule="auto"/>
        <w:jc w:val="center"/>
        <w:rPr>
          <w:rFonts w:hint="eastAsia" w:ascii="宋体" w:hAnsi="宋体"/>
          <w:color w:val="auto"/>
          <w:sz w:val="6"/>
          <w:szCs w:val="32"/>
        </w:rPr>
      </w:pP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6720" w:firstLineChars="2100"/>
        <w:rPr>
          <w:rFonts w:hint="eastAsia" w:ascii="黑体" w:hAnsi="黑体" w:eastAsia="黑体"/>
          <w:color w:val="auto"/>
          <w:szCs w:val="32"/>
        </w:rPr>
      </w:pPr>
      <w:bookmarkStart w:id="0" w:name="_GoBack"/>
      <w:bookmarkEnd w:id="0"/>
      <w:r>
        <w:rPr>
          <w:rFonts w:hint="eastAsia" w:ascii="仿宋_GB2312" w:hAnsi="仿宋_GB2312" w:cs="仿宋_GB2312"/>
          <w:color w:val="auto"/>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22</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18.26</w:t>
            </w: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9.72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12</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8.54</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12</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8.54</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仿宋_GB2312" w:hAnsi="仿宋" w:cs="Times New Roman"/>
          <w:color w:val="auto"/>
          <w:szCs w:val="32"/>
          <w:lang w:val="en-US" w:eastAsia="zh-CN"/>
        </w:rPr>
      </w:pPr>
      <w:r>
        <w:rPr>
          <w:rFonts w:hint="eastAsia" w:ascii="仿宋_GB2312" w:hAnsi="仿宋"/>
          <w:color w:val="auto"/>
          <w:szCs w:val="32"/>
          <w:lang w:val="en-US" w:eastAsia="zh-CN"/>
        </w:rPr>
        <w:t>淮北市水务局</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22</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18.26</w:t>
      </w:r>
      <w:r>
        <w:rPr>
          <w:rFonts w:hint="eastAsia" w:ascii="仿宋_GB2312" w:hAnsi="仿宋"/>
          <w:color w:val="auto"/>
          <w:szCs w:val="32"/>
        </w:rPr>
        <w:t>万元，完成预算的</w:t>
      </w:r>
      <w:r>
        <w:rPr>
          <w:rFonts w:hint="eastAsia" w:ascii="仿宋_GB2312" w:hAnsi="仿宋"/>
          <w:color w:val="auto"/>
          <w:szCs w:val="32"/>
          <w:lang w:val="en-US" w:eastAsia="zh-CN"/>
        </w:rPr>
        <w:t>83</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5.85</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47.14%。</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w:t>
      </w:r>
      <w:r>
        <w:rPr>
          <w:rFonts w:hint="eastAsia" w:ascii="仿宋_GB2312" w:hAnsi="仿宋"/>
          <w:szCs w:val="32"/>
          <w:lang w:eastAsia="zh-CN"/>
        </w:rPr>
        <w:t>认真落实中央八项规定，积极推行厉行节约，努力降低单位运行成本，严控三公经费支出，公务接待和公车运行维护费均减少</w:t>
      </w:r>
      <w:r>
        <w:rPr>
          <w:rFonts w:hint="eastAsia" w:ascii="仿宋_GB2312" w:hAnsi="仿宋"/>
          <w:szCs w:val="32"/>
        </w:rPr>
        <w:t>。</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:（1）为推进招商引资等工作的开展，接待费有所增长。（2）</w:t>
      </w:r>
      <w:r>
        <w:rPr>
          <w:rFonts w:hint="eastAsia" w:ascii="仿宋_GB2312" w:hAnsi="仿宋"/>
          <w:color w:val="auto"/>
          <w:szCs w:val="32"/>
          <w:u w:val="none"/>
          <w:lang w:eastAsia="zh-CN"/>
        </w:rPr>
        <w:t>局属二级单位淮北市水资源管理办公室开展地下水超采区治理业务工作，需经常深入现场检查，业务量增加。</w:t>
      </w:r>
      <w:r>
        <w:rPr>
          <w:rFonts w:hint="eastAsia" w:ascii="仿宋_GB2312" w:hAnsi="仿宋" w:cs="Times New Roman"/>
          <w:color w:val="auto"/>
          <w:szCs w:val="32"/>
          <w:lang w:val="en-US" w:eastAsia="zh-CN"/>
        </w:rPr>
        <w:t>为全面反映“三公”经费支出，本次公布的“三公”经费决算为部门汇总数，包含单位本级和所属单位。</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淮北市水务局</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9.72</w:t>
      </w:r>
      <w:r>
        <w:rPr>
          <w:rFonts w:hint="eastAsia" w:ascii="仿宋_GB2312" w:hAnsi="仿宋"/>
          <w:color w:val="auto"/>
          <w:szCs w:val="32"/>
        </w:rPr>
        <w:t>万元，占</w:t>
      </w:r>
      <w:r>
        <w:rPr>
          <w:rFonts w:hint="eastAsia" w:ascii="仿宋_GB2312" w:hAnsi="仿宋"/>
          <w:color w:val="auto"/>
          <w:szCs w:val="32"/>
          <w:lang w:val="en-US" w:eastAsia="zh-CN"/>
        </w:rPr>
        <w:t>53.23</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8.54</w:t>
      </w:r>
      <w:r>
        <w:rPr>
          <w:rFonts w:hint="eastAsia" w:ascii="仿宋_GB2312" w:hAnsi="仿宋"/>
          <w:color w:val="auto"/>
          <w:szCs w:val="32"/>
        </w:rPr>
        <w:t>万元，占</w:t>
      </w:r>
      <w:r>
        <w:rPr>
          <w:rFonts w:hint="eastAsia" w:ascii="仿宋_GB2312" w:hAnsi="仿宋"/>
          <w:color w:val="auto"/>
          <w:szCs w:val="32"/>
          <w:lang w:val="en-US" w:eastAsia="zh-CN"/>
        </w:rPr>
        <w:t>46.77</w:t>
      </w:r>
      <w:r>
        <w:rPr>
          <w:rFonts w:hint="eastAsia" w:ascii="仿宋_GB2312" w:hAnsi="仿宋"/>
          <w:color w:val="auto"/>
          <w:szCs w:val="32"/>
        </w:rPr>
        <w:t>%。具体情况如下：</w:t>
      </w:r>
    </w:p>
    <w:p>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；与</w:t>
      </w:r>
      <w:r>
        <w:rPr>
          <w:rFonts w:hint="eastAsia" w:ascii="仿宋_GB2312" w:hAnsi="仿宋"/>
          <w:color w:val="auto"/>
          <w:szCs w:val="32"/>
          <w:u w:val="none"/>
          <w:lang w:eastAsia="zh-CN"/>
        </w:rPr>
        <w:t>上年数值一致（上年预决算均为</w:t>
      </w:r>
      <w:r>
        <w:rPr>
          <w:rFonts w:hint="eastAsia" w:ascii="仿宋_GB2312" w:hAnsi="仿宋"/>
          <w:color w:val="auto"/>
          <w:szCs w:val="32"/>
          <w:u w:val="none"/>
          <w:lang w:val="en-US" w:eastAsia="zh-CN"/>
        </w:rPr>
        <w:t>0</w:t>
      </w:r>
      <w:r>
        <w:rPr>
          <w:rFonts w:hint="eastAsia" w:ascii="仿宋_GB2312" w:hAnsi="仿宋"/>
          <w:color w:val="auto"/>
          <w:szCs w:val="32"/>
          <w:u w:val="none"/>
          <w:lang w:eastAsia="zh-CN"/>
        </w:rPr>
        <w:t>）</w:t>
      </w:r>
      <w:r>
        <w:rPr>
          <w:rFonts w:hint="eastAsia" w:ascii="仿宋_GB2312" w:hAnsi="仿宋"/>
          <w:color w:val="auto"/>
          <w:szCs w:val="32"/>
          <w:u w:val="none"/>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w:t>
      </w:r>
      <w:r>
        <w:rPr>
          <w:rFonts w:hint="eastAsia" w:ascii="仿宋_GB2312" w:hAnsi="仿宋"/>
          <w:color w:val="auto"/>
          <w:szCs w:val="32"/>
          <w:u w:val="none"/>
          <w:lang w:eastAsia="zh-CN"/>
        </w:rPr>
        <w:t>数，</w:t>
      </w:r>
      <w:r>
        <w:rPr>
          <w:rFonts w:hint="eastAsia" w:ascii="仿宋_GB2312" w:hAnsi="仿宋"/>
          <w:color w:val="auto"/>
          <w:szCs w:val="32"/>
          <w:u w:val="none"/>
        </w:rPr>
        <w:t>决算数</w:t>
      </w:r>
      <w:r>
        <w:rPr>
          <w:rFonts w:hint="eastAsia" w:ascii="仿宋_GB2312" w:hAnsi="仿宋"/>
          <w:color w:val="auto"/>
          <w:szCs w:val="32"/>
          <w:u w:val="none"/>
          <w:lang w:eastAsia="zh-CN"/>
        </w:rPr>
        <w:t>与上年一致</w:t>
      </w:r>
      <w:r>
        <w:rPr>
          <w:rFonts w:hint="eastAsia" w:ascii="仿宋_GB2312" w:hAnsi="仿宋"/>
          <w:color w:val="auto"/>
          <w:szCs w:val="32"/>
          <w:u w:val="none"/>
        </w:rPr>
        <w:t>。</w:t>
      </w:r>
      <w:r>
        <w:rPr>
          <w:rFonts w:hint="eastAsia" w:ascii="仿宋_GB2312" w:hAnsi="仿宋"/>
          <w:szCs w:val="32"/>
          <w:lang w:val="en-US" w:eastAsia="zh-CN"/>
        </w:rPr>
        <w:t>2022年无因公出国（境）计划，20</w:t>
      </w:r>
      <w:r>
        <w:rPr>
          <w:rFonts w:hint="eastAsia" w:ascii="仿宋_GB2312" w:hAnsi="仿宋"/>
          <w:color w:val="auto"/>
          <w:szCs w:val="32"/>
          <w:lang w:eastAsia="zh-CN"/>
        </w:rPr>
        <w:t>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淮北市水务局</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人次。该项经费根据</w:t>
      </w:r>
      <w:r>
        <w:rPr>
          <w:rFonts w:hint="eastAsia" w:ascii="仿宋_GB2312" w:hAnsi="仿宋"/>
          <w:color w:val="auto"/>
          <w:szCs w:val="32"/>
          <w:lang w:val="en-US" w:eastAsia="zh-CN"/>
        </w:rPr>
        <w:t>市</w:t>
      </w:r>
      <w:r>
        <w:rPr>
          <w:rFonts w:hint="eastAsia" w:ascii="仿宋_GB2312" w:hAnsi="仿宋"/>
          <w:color w:val="auto"/>
          <w:szCs w:val="32"/>
        </w:rPr>
        <w:t>外办批准的因公临时出国（境）计划，按照规定标准安排。经费使用严格按照《</w:t>
      </w:r>
      <w:r>
        <w:rPr>
          <w:rFonts w:hint="eastAsia" w:ascii="仿宋_GB2312" w:hAnsi="仿宋"/>
          <w:color w:val="auto"/>
          <w:szCs w:val="32"/>
          <w:lang w:val="en-US" w:eastAsia="zh-CN"/>
        </w:rPr>
        <w:t>淮北市财政局淮北市外事办公室关于转发&lt;</w:t>
      </w:r>
      <w:r>
        <w:rPr>
          <w:rFonts w:hint="eastAsia" w:ascii="仿宋_GB2312" w:hAnsi="仿宋"/>
          <w:color w:val="auto"/>
          <w:szCs w:val="32"/>
        </w:rPr>
        <w:t>安徽省省直党政机关因公临时出国经费管理办法</w:t>
      </w:r>
      <w:r>
        <w:rPr>
          <w:rFonts w:hint="eastAsia" w:ascii="仿宋_GB2312" w:hAnsi="仿宋"/>
          <w:color w:val="auto"/>
          <w:szCs w:val="32"/>
          <w:lang w:val="en-US" w:eastAsia="zh-CN"/>
        </w:rPr>
        <w:t>&gt;的通知</w:t>
      </w:r>
      <w:r>
        <w:rPr>
          <w:rFonts w:hint="eastAsia" w:ascii="仿宋_GB2312" w:hAnsi="仿宋"/>
          <w:color w:val="auto"/>
          <w:szCs w:val="32"/>
        </w:rPr>
        <w:t>》（财行〔2014〕</w:t>
      </w:r>
      <w:r>
        <w:rPr>
          <w:rFonts w:hint="eastAsia" w:ascii="仿宋_GB2312" w:hAnsi="仿宋"/>
          <w:color w:val="auto"/>
          <w:szCs w:val="32"/>
          <w:lang w:val="en-US" w:eastAsia="zh-CN"/>
        </w:rPr>
        <w:t>327</w:t>
      </w:r>
      <w:r>
        <w:rPr>
          <w:rFonts w:hint="eastAsia" w:ascii="仿宋_GB2312" w:hAnsi="仿宋"/>
          <w:color w:val="auto"/>
          <w:szCs w:val="32"/>
        </w:rPr>
        <w:t>号）、《</w:t>
      </w:r>
      <w:r>
        <w:rPr>
          <w:rFonts w:hint="eastAsia" w:ascii="仿宋_GB2312" w:hAnsi="仿宋"/>
          <w:color w:val="auto"/>
          <w:szCs w:val="32"/>
          <w:lang w:val="en-US" w:eastAsia="zh-CN"/>
        </w:rPr>
        <w:t>淮北市财政局淮北市人力资源和社会保障局关于转发&lt;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val="en-US" w:eastAsia="zh-CN"/>
        </w:rPr>
        <w:t>&gt;的通知</w:t>
      </w:r>
      <w:r>
        <w:rPr>
          <w:rFonts w:hint="eastAsia" w:ascii="仿宋_GB2312" w:hAnsi="仿宋"/>
          <w:color w:val="auto"/>
          <w:szCs w:val="32"/>
        </w:rPr>
        <w:t>》（财行〔201</w:t>
      </w: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color w:val="auto"/>
          <w:szCs w:val="32"/>
          <w:lang w:val="en-US" w:eastAsia="zh-CN"/>
        </w:rPr>
        <w:t>293</w:t>
      </w:r>
      <w:r>
        <w:rPr>
          <w:rFonts w:hint="eastAsia" w:ascii="仿宋_GB2312" w:hAnsi="仿宋"/>
          <w:color w:val="auto"/>
          <w:szCs w:val="32"/>
        </w:rPr>
        <w:t>号）等相关规定执行。</w:t>
      </w:r>
    </w:p>
    <w:p>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9.72万元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97.2</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2.31</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31.17%。</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szCs w:val="32"/>
          <w:lang w:eastAsia="zh-CN"/>
        </w:rPr>
        <w:t>厉行节约，严控三公经费支出。</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推进招商引资工作的开展</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淮北市水务局</w:t>
      </w:r>
      <w:r>
        <w:rPr>
          <w:rFonts w:hint="eastAsia" w:ascii="仿宋_GB2312" w:hAnsi="仿宋"/>
          <w:color w:val="auto"/>
          <w:szCs w:val="32"/>
        </w:rPr>
        <w:t>国内公务接待共</w:t>
      </w:r>
      <w:r>
        <w:rPr>
          <w:rFonts w:hint="eastAsia" w:ascii="仿宋_GB2312" w:hAnsi="仿宋"/>
          <w:color w:val="auto"/>
          <w:szCs w:val="32"/>
          <w:lang w:val="en-US" w:eastAsia="zh-CN"/>
        </w:rPr>
        <w:t>110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601</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 w:hAnsi="仿宋" w:eastAsia="仿宋"/>
          <w:szCs w:val="32"/>
        </w:rPr>
        <w:t>招商引资工作、河湖长制</w:t>
      </w:r>
      <w:r>
        <w:rPr>
          <w:rFonts w:hint="eastAsia" w:ascii="仿宋" w:hAnsi="仿宋" w:eastAsia="仿宋"/>
          <w:szCs w:val="32"/>
          <w:lang w:eastAsia="zh-CN"/>
        </w:rPr>
        <w:t>管理工作</w:t>
      </w:r>
      <w:r>
        <w:rPr>
          <w:rFonts w:hint="eastAsia" w:ascii="仿宋" w:hAnsi="仿宋" w:eastAsia="仿宋"/>
          <w:szCs w:val="32"/>
        </w:rPr>
        <w:t>及水资源管理工作的开展；农田水利建设工程及中小河流治理工程的检查和验</w:t>
      </w:r>
      <w:r>
        <w:rPr>
          <w:rFonts w:hint="eastAsia" w:ascii="仿宋" w:hAnsi="仿宋" w:eastAsia="仿宋"/>
          <w:szCs w:val="32"/>
          <w:lang w:eastAsia="zh-CN"/>
        </w:rPr>
        <w:t>收</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和</w:t>
      </w:r>
      <w:r>
        <w:rPr>
          <w:rFonts w:hint="eastAsia" w:ascii="仿宋_GB2312" w:hAnsi="仿宋"/>
          <w:color w:val="auto"/>
          <w:szCs w:val="32"/>
          <w:lang w:val="en-US" w:eastAsia="zh-CN"/>
        </w:rPr>
        <w:t>市</w:t>
      </w:r>
      <w:r>
        <w:rPr>
          <w:rFonts w:hint="eastAsia" w:ascii="仿宋_GB2312" w:hAnsi="仿宋"/>
          <w:color w:val="auto"/>
          <w:szCs w:val="32"/>
          <w:lang w:eastAsia="zh-CN"/>
        </w:rPr>
        <w:t>委</w:t>
      </w:r>
      <w:r>
        <w:rPr>
          <w:rFonts w:hint="eastAsia" w:ascii="仿宋_GB2312" w:hAnsi="仿宋"/>
          <w:color w:val="auto"/>
          <w:szCs w:val="32"/>
        </w:rPr>
        <w:t>实</w:t>
      </w:r>
      <w:r>
        <w:rPr>
          <w:rFonts w:hint="eastAsia" w:ascii="仿宋_GB2312" w:hAnsi="宋体" w:cs="宋体"/>
          <w:color w:val="auto"/>
          <w:kern w:val="0"/>
          <w:szCs w:val="32"/>
        </w:rPr>
        <w:t>施细则</w:t>
      </w:r>
      <w:r>
        <w:rPr>
          <w:rFonts w:hint="eastAsia" w:ascii="仿宋_GB2312" w:hAnsi="仿宋"/>
          <w:color w:val="auto"/>
          <w:szCs w:val="32"/>
        </w:rPr>
        <w:t>，严格执行《</w:t>
      </w:r>
      <w:r>
        <w:rPr>
          <w:rFonts w:hint="eastAsia" w:ascii="仿宋_GB2312" w:hAnsi="仿宋"/>
          <w:color w:val="auto"/>
          <w:szCs w:val="32"/>
          <w:lang w:val="en-US" w:eastAsia="zh-CN"/>
        </w:rPr>
        <w:t>关于印发&lt;淮北市市直单位接待经费管理暂行办法&gt;的通知</w:t>
      </w:r>
      <w:r>
        <w:rPr>
          <w:rFonts w:hint="eastAsia" w:ascii="仿宋_GB2312" w:hAnsi="仿宋"/>
          <w:color w:val="auto"/>
          <w:szCs w:val="32"/>
        </w:rPr>
        <w:t>》（财行〔201</w:t>
      </w:r>
      <w:r>
        <w:rPr>
          <w:rFonts w:hint="eastAsia" w:ascii="仿宋_GB2312" w:hAnsi="仿宋"/>
          <w:color w:val="auto"/>
          <w:szCs w:val="32"/>
          <w:lang w:val="en-US" w:eastAsia="zh-CN"/>
        </w:rPr>
        <w:t>3</w:t>
      </w:r>
      <w:r>
        <w:rPr>
          <w:rFonts w:hint="eastAsia" w:ascii="仿宋_GB2312" w:hAnsi="仿宋"/>
          <w:color w:val="auto"/>
          <w:szCs w:val="32"/>
        </w:rPr>
        <w:t>〕</w:t>
      </w:r>
      <w:r>
        <w:rPr>
          <w:rFonts w:hint="eastAsia" w:ascii="仿宋_GB2312" w:hAnsi="仿宋"/>
          <w:color w:val="auto"/>
          <w:szCs w:val="32"/>
          <w:lang w:val="en-US" w:eastAsia="zh-CN"/>
        </w:rPr>
        <w:t>133</w:t>
      </w:r>
      <w:r>
        <w:rPr>
          <w:rFonts w:hint="eastAsia" w:ascii="仿宋_GB2312" w:hAnsi="仿宋"/>
          <w:color w:val="auto"/>
          <w:szCs w:val="32"/>
        </w:rPr>
        <w:t>号）</w:t>
      </w:r>
      <w:r>
        <w:rPr>
          <w:rFonts w:hint="eastAsia" w:ascii="仿宋_GB2312" w:hAnsi="仿宋"/>
          <w:color w:val="auto"/>
          <w:szCs w:val="32"/>
          <w:lang w:eastAsia="zh-CN"/>
        </w:rPr>
        <w:t>、《</w:t>
      </w:r>
      <w:r>
        <w:rPr>
          <w:rFonts w:hint="eastAsia" w:ascii="仿宋_GB2312" w:hAnsi="仿宋"/>
          <w:color w:val="auto"/>
          <w:szCs w:val="32"/>
          <w:lang w:val="en-US" w:eastAsia="zh-CN"/>
        </w:rPr>
        <w:t>淮北市财政局淮北市机关事务管理中心关于调整市直机关公务接待费用餐标准的通知</w:t>
      </w:r>
      <w:r>
        <w:rPr>
          <w:rFonts w:hint="eastAsia" w:ascii="仿宋_GB2312" w:hAnsi="仿宋"/>
          <w:color w:val="auto"/>
          <w:szCs w:val="32"/>
          <w:lang w:eastAsia="zh-CN"/>
        </w:rPr>
        <w:t>》</w:t>
      </w:r>
      <w:r>
        <w:rPr>
          <w:rFonts w:hint="eastAsia" w:ascii="仿宋_GB2312" w:hAnsi="仿宋"/>
          <w:color w:val="auto"/>
          <w:szCs w:val="32"/>
        </w:rPr>
        <w:t>（财行〔20</w:t>
      </w:r>
      <w:r>
        <w:rPr>
          <w:rFonts w:hint="eastAsia" w:ascii="仿宋_GB2312" w:hAnsi="仿宋"/>
          <w:color w:val="auto"/>
          <w:szCs w:val="32"/>
          <w:lang w:val="en-US" w:eastAsia="zh-CN"/>
        </w:rPr>
        <w:t>21</w:t>
      </w:r>
      <w:r>
        <w:rPr>
          <w:rFonts w:hint="eastAsia" w:ascii="仿宋_GB2312" w:hAnsi="仿宋"/>
          <w:color w:val="auto"/>
          <w:szCs w:val="32"/>
        </w:rPr>
        <w:t>〕</w:t>
      </w:r>
      <w:r>
        <w:rPr>
          <w:rFonts w:hint="eastAsia" w:ascii="仿宋_GB2312" w:hAnsi="仿宋"/>
          <w:color w:val="auto"/>
          <w:szCs w:val="32"/>
          <w:lang w:val="en-US" w:eastAsia="zh-CN"/>
        </w:rPr>
        <w:t>85</w:t>
      </w:r>
      <w:r>
        <w:rPr>
          <w:rFonts w:hint="eastAsia" w:ascii="仿宋_GB2312" w:hAnsi="仿宋"/>
          <w:color w:val="auto"/>
          <w:szCs w:val="32"/>
        </w:rPr>
        <w:t>号）</w:t>
      </w:r>
      <w:r>
        <w:rPr>
          <w:rFonts w:hint="eastAsia" w:ascii="仿宋_GB2312" w:hAnsi="仿宋"/>
          <w:color w:val="auto"/>
          <w:szCs w:val="32"/>
          <w:lang w:eastAsia="zh-CN"/>
        </w:rPr>
        <w:t>等</w:t>
      </w:r>
      <w:r>
        <w:rPr>
          <w:rFonts w:hint="eastAsia" w:ascii="仿宋_GB2312" w:hAnsi="仿宋"/>
          <w:color w:val="auto"/>
          <w:szCs w:val="32"/>
        </w:rPr>
        <w:t>相关规定。</w:t>
      </w:r>
    </w:p>
    <w:p>
      <w:pPr>
        <w:ind w:firstLine="643" w:firstLineChars="200"/>
        <w:rPr>
          <w:rFonts w:hint="eastAsia"/>
          <w:color w:val="auto"/>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12</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8.54万元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71.17</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3.54</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70.8%。</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szCs w:val="32"/>
          <w:lang w:eastAsia="zh-CN"/>
        </w:rPr>
        <w:t>厉行节约，努力降低单位运行成本</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：局属二级单位淮北市水资源管理办公室淮北市水资源管理办公室开展地下水超采区治理业务工作，需经常深入现场检查，业务量增加</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；与</w:t>
      </w:r>
      <w:r>
        <w:rPr>
          <w:rFonts w:hint="eastAsia" w:ascii="仿宋_GB2312" w:hAnsi="仿宋"/>
          <w:color w:val="auto"/>
          <w:szCs w:val="32"/>
          <w:u w:val="none"/>
          <w:lang w:eastAsia="zh-CN"/>
        </w:rPr>
        <w:t>上年一致</w:t>
      </w:r>
      <w:r>
        <w:rPr>
          <w:rFonts w:hint="eastAsia" w:ascii="仿宋_GB2312" w:hAnsi="仿宋"/>
          <w:color w:val="auto"/>
          <w:szCs w:val="32"/>
          <w:u w:val="none"/>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等</w:t>
      </w:r>
      <w:r>
        <w:rPr>
          <w:rFonts w:hint="eastAsia" w:ascii="仿宋_GB2312" w:hAnsi="仿宋"/>
          <w:color w:val="auto"/>
          <w:szCs w:val="32"/>
          <w:u w:val="none"/>
        </w:rPr>
        <w:t>于预算数</w:t>
      </w:r>
      <w:r>
        <w:rPr>
          <w:rFonts w:hint="eastAsia" w:ascii="仿宋_GB2312" w:hAnsi="仿宋"/>
          <w:color w:val="auto"/>
          <w:szCs w:val="32"/>
          <w:u w:val="none"/>
          <w:lang w:eastAsia="zh-CN"/>
        </w:rPr>
        <w:t>（均为</w:t>
      </w:r>
      <w:r>
        <w:rPr>
          <w:rFonts w:hint="eastAsia" w:ascii="仿宋_GB2312" w:hAnsi="仿宋"/>
          <w:color w:val="auto"/>
          <w:szCs w:val="32"/>
          <w:u w:val="none"/>
          <w:lang w:val="en-US" w:eastAsia="zh-CN"/>
        </w:rPr>
        <w:t>0</w:t>
      </w:r>
      <w:r>
        <w:rPr>
          <w:rFonts w:hint="eastAsia" w:ascii="仿宋_GB2312" w:hAnsi="仿宋"/>
          <w:color w:val="auto"/>
          <w:szCs w:val="32"/>
          <w:u w:val="none"/>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与上年一致（均为</w:t>
      </w:r>
      <w:r>
        <w:rPr>
          <w:rFonts w:hint="eastAsia" w:ascii="仿宋_GB2312" w:hAnsi="仿宋"/>
          <w:color w:val="auto"/>
          <w:szCs w:val="32"/>
          <w:u w:val="none"/>
          <w:lang w:val="en-US" w:eastAsia="zh-CN"/>
        </w:rPr>
        <w:t>0</w:t>
      </w:r>
      <w:r>
        <w:rPr>
          <w:rFonts w:hint="eastAsia" w:ascii="仿宋_GB2312" w:hAnsi="仿宋"/>
          <w:color w:val="auto"/>
          <w:szCs w:val="32"/>
          <w:u w:val="none"/>
          <w:lang w:eastAsia="zh-CN"/>
        </w:rPr>
        <w:t>），原因是</w:t>
      </w:r>
      <w:r>
        <w:rPr>
          <w:rFonts w:hint="eastAsia" w:ascii="楷体_GB2312" w:hAnsi="楷体_GB2312" w:eastAsia="楷体_GB2312" w:cs="楷体_GB2312"/>
          <w:color w:val="auto"/>
          <w:szCs w:val="32"/>
          <w:lang w:eastAsia="zh-CN"/>
        </w:rPr>
        <w:t>202</w:t>
      </w:r>
      <w:r>
        <w:rPr>
          <w:rFonts w:hint="eastAsia" w:ascii="楷体_GB2312" w:hAnsi="楷体_GB2312" w:eastAsia="楷体_GB2312" w:cs="楷体_GB2312"/>
          <w:color w:val="auto"/>
          <w:szCs w:val="32"/>
          <w:lang w:val="en-US" w:eastAsia="zh-CN"/>
        </w:rPr>
        <w:t>2</w:t>
      </w:r>
      <w:r>
        <w:rPr>
          <w:rFonts w:hint="eastAsia" w:ascii="楷体_GB2312" w:hAnsi="楷体_GB2312" w:eastAsia="楷体_GB2312" w:cs="楷体_GB2312"/>
          <w:color w:val="auto"/>
          <w:szCs w:val="32"/>
        </w:rPr>
        <w:t>年没有安排公务用车购置费</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12</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8.54万元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71.17</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3.54</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70.8%。</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szCs w:val="32"/>
          <w:lang w:eastAsia="zh-CN"/>
        </w:rPr>
        <w:t>厉行节约，努力降低单位运行成本</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局属二级单位淮北市水资源管理办公室开展地下水超采区治理业务工作</w:t>
      </w:r>
      <w:r>
        <w:rPr>
          <w:rFonts w:hint="eastAsia" w:ascii="仿宋_GB2312" w:hAnsi="仿宋"/>
          <w:color w:val="auto"/>
          <w:szCs w:val="32"/>
          <w:u w:val="none"/>
          <w:lang w:val="en-US" w:eastAsia="zh-CN"/>
        </w:rPr>
        <w:t>,业务量增加，公务用车费用增加</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仿宋"/>
          <w:color w:val="auto"/>
          <w:szCs w:val="32"/>
          <w:lang w:eastAsia="zh-CN"/>
        </w:rPr>
        <w:t>水利行业业务管理、水资源管理及水利工程监督检查等工作</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淮北市水务局</w:t>
      </w:r>
      <w:r>
        <w:rPr>
          <w:rFonts w:hint="eastAsia" w:ascii="仿宋_GB2312" w:hAnsi="仿宋"/>
          <w:color w:val="auto"/>
          <w:szCs w:val="32"/>
        </w:rPr>
        <w:t>机关</w:t>
      </w:r>
      <w:r>
        <w:rPr>
          <w:rFonts w:hint="eastAsia" w:ascii="楷体_GB2312" w:hAnsi="仿宋" w:eastAsia="楷体_GB2312" w:cs="Times New Roman"/>
          <w:color w:val="auto"/>
          <w:szCs w:val="32"/>
        </w:rPr>
        <w:t>及所属单位</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3</w:t>
      </w:r>
      <w:r>
        <w:rPr>
          <w:rFonts w:hint="eastAsia" w:ascii="仿宋_GB2312" w:hAnsi="仿宋"/>
          <w:color w:val="auto"/>
          <w:szCs w:val="32"/>
        </w:rPr>
        <w:t>辆。</w:t>
      </w:r>
    </w:p>
    <w:p>
      <w:pPr>
        <w:pStyle w:val="4"/>
        <w:ind w:left="1258" w:hanging="1258"/>
        <w:jc w:val="both"/>
        <w:rPr>
          <w:rFonts w:hint="eastAsia" w:ascii="仿宋_GB2312" w:eastAsia="仿宋_GB2312"/>
          <w:color w:val="auto"/>
          <w:sz w:val="32"/>
        </w:rPr>
      </w:pPr>
    </w:p>
    <w:p>
      <w:pPr>
        <w:pStyle w:val="4"/>
        <w:ind w:left="1258" w:hanging="1258"/>
        <w:jc w:val="both"/>
        <w:rPr>
          <w:rFonts w:hint="eastAsia" w:ascii="仿宋_GB2312" w:eastAsia="仿宋_GB2312"/>
          <w:color w:val="auto"/>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MzYwMWU1MTI2ODFlNjdmY2VmMTQ4MDVmMTg5YTYifQ=="/>
  </w:docVars>
  <w:rsids>
    <w:rsidRoot w:val="50467EB3"/>
    <w:rsid w:val="1A310812"/>
    <w:rsid w:val="1D9A45E1"/>
    <w:rsid w:val="5046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ind w:left="420" w:leftChars="200"/>
    </w:pPr>
  </w:style>
  <w:style w:type="paragraph" w:styleId="4">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2023-10-27T08:32:00Z</dcterms:created>
  <dc:creator>zhf</dc:creator>
  <cp:lastModifiedBy>zhf</cp:lastModifiedBy>
  <dcterms:modified xsi:type="dcterms:W3CDTF">2023-11-08T02:40:53Z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5693B55232FD4EB788F2A1E5071D6C0C_11</vt:lpwstr>
  </property>
</Properties>
</file>